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9601" w14:textId="217171F1" w:rsidR="00093C06" w:rsidRPr="0077244E" w:rsidRDefault="00322EAC" w:rsidP="00530CA3">
      <w:pPr>
        <w:spacing w:after="120"/>
        <w:rPr>
          <w:rFonts w:ascii="Calibri" w:hAnsi="Calibri"/>
          <w:color w:val="333333"/>
          <w:sz w:val="28"/>
          <w:szCs w:val="24"/>
          <w:lang w:val="es-ES_tradnl"/>
        </w:rPr>
      </w:pPr>
      <w:r w:rsidRPr="0077244E">
        <w:rPr>
          <w:rFonts w:ascii="Calibri" w:eastAsia="Arial Narrow" w:hAnsi="Calibri" w:cs="Arial Narrow"/>
          <w:color w:val="333333"/>
          <w:sz w:val="26"/>
          <w:szCs w:val="26"/>
          <w:bdr w:val="nil"/>
          <w:lang w:val="es-ES_tradnl"/>
        </w:rPr>
        <w:t xml:space="preserve">Una cuenta de </w:t>
      </w:r>
      <w:r w:rsidR="00C86D34" w:rsidRPr="0077244E">
        <w:rPr>
          <w:rFonts w:ascii="Calibri" w:eastAsia="Arial Narrow" w:hAnsi="Calibri" w:cs="Arial Narrow"/>
          <w:color w:val="333333"/>
          <w:sz w:val="26"/>
          <w:szCs w:val="26"/>
          <w:bdr w:val="nil"/>
          <w:lang w:val="es-ES_tradnl"/>
        </w:rPr>
        <w:t xml:space="preserve">gastos flexibles </w:t>
      </w:r>
      <w:r w:rsidRPr="0077244E">
        <w:rPr>
          <w:rFonts w:ascii="Calibri" w:eastAsia="Arial Narrow" w:hAnsi="Calibri" w:cs="Arial Narrow"/>
          <w:color w:val="333333"/>
          <w:sz w:val="26"/>
          <w:szCs w:val="26"/>
          <w:bdr w:val="nil"/>
          <w:lang w:val="es-ES_tradnl"/>
        </w:rPr>
        <w:t xml:space="preserve">(Flexible </w:t>
      </w:r>
      <w:proofErr w:type="spellStart"/>
      <w:r w:rsidRPr="0077244E">
        <w:rPr>
          <w:rFonts w:ascii="Calibri" w:eastAsia="Arial Narrow" w:hAnsi="Calibri" w:cs="Arial Narrow"/>
          <w:color w:val="333333"/>
          <w:sz w:val="26"/>
          <w:szCs w:val="26"/>
          <w:bdr w:val="nil"/>
          <w:lang w:val="es-ES_tradnl"/>
        </w:rPr>
        <w:t>Spending</w:t>
      </w:r>
      <w:proofErr w:type="spellEnd"/>
      <w:r w:rsidRPr="0077244E">
        <w:rPr>
          <w:rFonts w:ascii="Calibri" w:eastAsia="Arial Narrow" w:hAnsi="Calibri" w:cs="Arial Narrow"/>
          <w:color w:val="333333"/>
          <w:sz w:val="26"/>
          <w:szCs w:val="26"/>
          <w:bdr w:val="nil"/>
          <w:lang w:val="es-ES_tradnl"/>
        </w:rPr>
        <w:t xml:space="preserve"> </w:t>
      </w:r>
      <w:proofErr w:type="spellStart"/>
      <w:r w:rsidRPr="0077244E">
        <w:rPr>
          <w:rFonts w:ascii="Calibri" w:eastAsia="Arial Narrow" w:hAnsi="Calibri" w:cs="Arial Narrow"/>
          <w:color w:val="333333"/>
          <w:sz w:val="26"/>
          <w:szCs w:val="26"/>
          <w:bdr w:val="nil"/>
          <w:lang w:val="es-ES_tradnl"/>
        </w:rPr>
        <w:t>Account</w:t>
      </w:r>
      <w:proofErr w:type="spellEnd"/>
      <w:r w:rsidRPr="0077244E">
        <w:rPr>
          <w:rFonts w:ascii="Calibri" w:eastAsia="Arial Narrow" w:hAnsi="Calibri" w:cs="Arial Narrow"/>
          <w:color w:val="333333"/>
          <w:sz w:val="26"/>
          <w:szCs w:val="26"/>
          <w:bdr w:val="nil"/>
          <w:lang w:val="es-ES_tradnl"/>
        </w:rPr>
        <w:t>, FSA) es una manera fácil de pagar sus costos de atención médica sin impuestos. Es importante estimar sus gastos de desembolso directo, ya que los fondos no utilizados al final del año o el período de gracia se devolverán a su empleador.</w:t>
      </w:r>
      <w:r w:rsidR="00BA1FE8">
        <w:rPr>
          <w:rFonts w:ascii="Calibri" w:eastAsia="Arial Narrow" w:hAnsi="Calibri" w:cs="Arial Narrow"/>
          <w:color w:val="333333"/>
          <w:sz w:val="26"/>
          <w:szCs w:val="26"/>
          <w:bdr w:val="nil"/>
          <w:lang w:val="es-ES_tradnl"/>
        </w:rPr>
        <w:t>*</w:t>
      </w:r>
      <w:r w:rsidRPr="0077244E">
        <w:rPr>
          <w:rFonts w:ascii="Calibri" w:eastAsia="Arial Narrow" w:hAnsi="Calibri" w:cs="Arial Narrow"/>
          <w:color w:val="333333"/>
          <w:sz w:val="26"/>
          <w:szCs w:val="26"/>
          <w:bdr w:val="nil"/>
          <w:lang w:val="es-ES_tradnl"/>
        </w:rPr>
        <w:t xml:space="preserve"> Utilice esta hoja de trabajo para calcular cuánto debe separar para su FSA de atención médica</w:t>
      </w:r>
      <w:r w:rsidRPr="0077244E">
        <w:rPr>
          <w:rFonts w:ascii="Calibri" w:eastAsia="Arial Narrow" w:hAnsi="Calibri" w:cs="Arial Narrow"/>
          <w:color w:val="333333"/>
          <w:sz w:val="28"/>
          <w:szCs w:val="28"/>
          <w:bdr w:val="nil"/>
          <w:lang w:val="es-ES_tradnl"/>
        </w:rPr>
        <w:t>.</w:t>
      </w:r>
    </w:p>
    <w:tbl>
      <w:tblPr>
        <w:tblStyle w:val="TableGrid"/>
        <w:tblW w:w="10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713"/>
      </w:tblGrid>
      <w:tr w:rsidR="0095441B" w:rsidRPr="004A73F6" w14:paraId="69BE8D16" w14:textId="77777777" w:rsidTr="00632BEB">
        <w:trPr>
          <w:trHeight w:val="962"/>
        </w:trPr>
        <w:tc>
          <w:tcPr>
            <w:tcW w:w="10171" w:type="dxa"/>
            <w:gridSpan w:val="2"/>
            <w:tcBorders>
              <w:bottom w:val="single" w:sz="8" w:space="0" w:color="D9D9D9" w:themeColor="background1" w:themeShade="D9"/>
            </w:tcBorders>
            <w:vAlign w:val="center"/>
          </w:tcPr>
          <w:p w14:paraId="231C8737" w14:textId="77777777" w:rsidR="001C64BB" w:rsidRPr="0077244E" w:rsidRDefault="00322EAC" w:rsidP="001C64BB">
            <w:pPr>
              <w:spacing w:before="120" w:after="0"/>
              <w:rPr>
                <w:rFonts w:ascii="Calibri" w:hAnsi="Calibri"/>
                <w:b/>
                <w:color w:val="333333"/>
                <w:sz w:val="28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b/>
                <w:bCs/>
                <w:color w:val="333333"/>
                <w:sz w:val="28"/>
                <w:szCs w:val="28"/>
                <w:bdr w:val="nil"/>
                <w:lang w:val="es-ES_tradnl"/>
              </w:rPr>
              <w:t xml:space="preserve">Estime sus gastos médicos </w:t>
            </w:r>
          </w:p>
          <w:p w14:paraId="187C0AFF" w14:textId="4369F95C" w:rsidR="001C64BB" w:rsidRPr="0077244E" w:rsidRDefault="00322EAC" w:rsidP="0077244E">
            <w:pPr>
              <w:spacing w:after="120"/>
              <w:rPr>
                <w:rFonts w:ascii="Calibri" w:hAnsi="Calibri"/>
                <w:b/>
                <w:color w:val="333333"/>
                <w:sz w:val="28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(El Servicio de Renta Interna [</w:t>
            </w:r>
            <w:proofErr w:type="spellStart"/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Internal</w:t>
            </w:r>
            <w:proofErr w:type="spellEnd"/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</w:t>
            </w:r>
            <w:proofErr w:type="spellStart"/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Revenue</w:t>
            </w:r>
            <w:proofErr w:type="spellEnd"/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</w:t>
            </w:r>
            <w:proofErr w:type="spellStart"/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Service</w:t>
            </w:r>
            <w:proofErr w:type="spellEnd"/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, IRS] permite aportes máximos de </w:t>
            </w:r>
            <w:r w:rsidRPr="0077244E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$2,</w:t>
            </w:r>
            <w:r w:rsidR="00875480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7</w:t>
            </w:r>
            <w:r w:rsidR="005875FF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5</w:t>
            </w:r>
            <w:r w:rsidR="00875480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0</w:t>
            </w:r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)</w:t>
            </w:r>
          </w:p>
        </w:tc>
      </w:tr>
      <w:tr w:rsidR="0095441B" w:rsidRPr="004A73F6" w14:paraId="3E185939" w14:textId="77777777" w:rsidTr="00632BEB">
        <w:trPr>
          <w:trHeight w:val="366"/>
        </w:trPr>
        <w:tc>
          <w:tcPr>
            <w:tcW w:w="1017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E376486" w14:textId="77777777" w:rsidR="00B86CEA" w:rsidRPr="0077244E" w:rsidRDefault="00322EAC" w:rsidP="00F95D13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Estime el costo anual de los gastos médicos de desembolso directo</w:t>
            </w:r>
          </w:p>
        </w:tc>
      </w:tr>
      <w:tr w:rsidR="0095441B" w:rsidRPr="0077244E" w14:paraId="77905DA2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23B2CD" w14:textId="573F23D5" w:rsidR="00F95D13" w:rsidRPr="0077244E" w:rsidRDefault="00322EAC" w:rsidP="004A73F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Costos de desembolso directo hasta su deducible, junto con copagos o </w:t>
            </w:r>
            <w:proofErr w:type="spellStart"/>
            <w:r w:rsidR="004A73F6" w:rsidRPr="004A73F6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coseguro</w:t>
            </w:r>
            <w:proofErr w:type="spellEnd"/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8F4D2C" w14:textId="77777777" w:rsidR="00F95D13" w:rsidRPr="0077244E" w:rsidRDefault="00322EAC" w:rsidP="006542FF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hAnsi="Calibri"/>
                <w:color w:val="333333"/>
                <w:lang w:val="es-ES_tradnl"/>
              </w:rPr>
              <w:t>$</w:t>
            </w:r>
          </w:p>
        </w:tc>
      </w:tr>
      <w:tr w:rsidR="0095441B" w:rsidRPr="0077244E" w14:paraId="2AEBC5DA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650915" w14:textId="77777777" w:rsidR="00F95D13" w:rsidRPr="0077244E" w:rsidRDefault="00322EAC" w:rsidP="0077244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Medicamentos con receta médica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71A66EF" w14:textId="77777777" w:rsidR="00F95D13" w:rsidRPr="0077244E" w:rsidRDefault="00322EAC" w:rsidP="006542FF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hAnsi="Calibri"/>
                <w:color w:val="333333"/>
                <w:lang w:val="es-ES_tradnl"/>
              </w:rPr>
              <w:t>$</w:t>
            </w:r>
          </w:p>
        </w:tc>
      </w:tr>
      <w:tr w:rsidR="0095441B" w:rsidRPr="0077244E" w14:paraId="45A1CA9B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120CAB" w14:textId="77777777" w:rsidR="00F95D13" w:rsidRPr="0077244E" w:rsidRDefault="00322EAC" w:rsidP="0077244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Suministros médicos (insulina y suministros para diabéticos)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7CD91B" w14:textId="77777777" w:rsidR="00F95D13" w:rsidRPr="0077244E" w:rsidRDefault="00322EAC" w:rsidP="006542FF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hAnsi="Calibri"/>
                <w:color w:val="333333"/>
                <w:lang w:val="es-ES_tradnl"/>
              </w:rPr>
              <w:t>$</w:t>
            </w:r>
          </w:p>
        </w:tc>
      </w:tr>
      <w:tr w:rsidR="0095441B" w:rsidRPr="004A73F6" w14:paraId="290CC1EC" w14:textId="77777777" w:rsidTr="00632BEB">
        <w:trPr>
          <w:trHeight w:val="396"/>
        </w:trPr>
        <w:tc>
          <w:tcPr>
            <w:tcW w:w="10171" w:type="dxa"/>
            <w:gridSpan w:val="2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AE6886E" w14:textId="7434BEA0" w:rsidR="00B86CEA" w:rsidRPr="0077244E" w:rsidRDefault="00322EAC" w:rsidP="00B86CEA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 xml:space="preserve">Gastos de desembolso directo dentales, de la vista y </w:t>
            </w:r>
            <w:r w:rsidR="004A73F6" w:rsidRPr="004A73F6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de la audición</w:t>
            </w:r>
          </w:p>
        </w:tc>
      </w:tr>
      <w:tr w:rsidR="0095441B" w:rsidRPr="0077244E" w14:paraId="359E278A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784C2E" w14:textId="77777777" w:rsidR="00F95D13" w:rsidRPr="0077244E" w:rsidRDefault="00322EAC" w:rsidP="0077244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Controles y limpiezas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0F6B8F" w14:textId="77777777" w:rsidR="00F95D13" w:rsidRPr="0077244E" w:rsidRDefault="00322EAC" w:rsidP="006542FF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hAnsi="Calibri"/>
                <w:color w:val="333333"/>
                <w:lang w:val="es-ES_tradnl"/>
              </w:rPr>
              <w:t>$</w:t>
            </w:r>
          </w:p>
        </w:tc>
      </w:tr>
      <w:tr w:rsidR="0095441B" w:rsidRPr="0077244E" w14:paraId="020AEF94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5FA3C4" w14:textId="77777777" w:rsidR="00F95D13" w:rsidRPr="0077244E" w:rsidRDefault="00322EAC" w:rsidP="0077244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Empastes, radiografías, coronas, puentes, dentaduras, incrustaciones estéticas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31A4661" w14:textId="77777777" w:rsidR="00F95D13" w:rsidRPr="0077244E" w:rsidRDefault="00322EAC" w:rsidP="006542FF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hAnsi="Calibri"/>
                <w:color w:val="333333"/>
                <w:lang w:val="es-ES_tradnl"/>
              </w:rPr>
              <w:t>$</w:t>
            </w:r>
          </w:p>
        </w:tc>
      </w:tr>
      <w:tr w:rsidR="0095441B" w:rsidRPr="0077244E" w14:paraId="558A8A98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95A94C" w14:textId="77777777" w:rsidR="00F95D13" w:rsidRPr="0077244E" w:rsidRDefault="00322EAC" w:rsidP="0077244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Ortodoncia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8CD315" w14:textId="77777777" w:rsidR="00F95D13" w:rsidRPr="0077244E" w:rsidRDefault="00322EAC" w:rsidP="006542FF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hAnsi="Calibri"/>
                <w:color w:val="333333"/>
                <w:lang w:val="es-ES_tradnl"/>
              </w:rPr>
              <w:t>$</w:t>
            </w:r>
          </w:p>
        </w:tc>
      </w:tr>
      <w:tr w:rsidR="0095441B" w:rsidRPr="0077244E" w14:paraId="5DF3B083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F3CB60" w14:textId="77777777" w:rsidR="00F95D13" w:rsidRPr="0077244E" w:rsidRDefault="00322EAC" w:rsidP="0077244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Exámenes de la vista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9CDF9C4" w14:textId="77777777" w:rsidR="00F95D13" w:rsidRPr="0077244E" w:rsidRDefault="00322EAC" w:rsidP="006542FF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hAnsi="Calibri"/>
                <w:color w:val="333333"/>
                <w:lang w:val="es-ES_tradnl"/>
              </w:rPr>
              <w:t>$</w:t>
            </w:r>
          </w:p>
        </w:tc>
      </w:tr>
      <w:tr w:rsidR="0095441B" w:rsidRPr="0077244E" w14:paraId="6FCF9081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C78966" w14:textId="77777777" w:rsidR="00F95D13" w:rsidRPr="0077244E" w:rsidRDefault="00322EAC" w:rsidP="0077244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Lentes y anteojos recetados (anteojos, lentes de contacto y solución de limpieza)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EEF8E7" w14:textId="77777777" w:rsidR="00F95D13" w:rsidRPr="0077244E" w:rsidRDefault="00322EAC" w:rsidP="006542FF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hAnsi="Calibri"/>
                <w:color w:val="333333"/>
                <w:lang w:val="es-ES_tradnl"/>
              </w:rPr>
              <w:t>$</w:t>
            </w:r>
          </w:p>
        </w:tc>
      </w:tr>
      <w:tr w:rsidR="0095441B" w:rsidRPr="0077244E" w14:paraId="636BBC6A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E795DC" w14:textId="77777777" w:rsidR="00F95D13" w:rsidRPr="0077244E" w:rsidRDefault="00322EAC" w:rsidP="0077244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Cirugía ocular correctiva (LASIK, cataratas, etc.)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76CC91A" w14:textId="77777777" w:rsidR="00F95D13" w:rsidRPr="0077244E" w:rsidRDefault="00322EAC" w:rsidP="006542FF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hAnsi="Calibri"/>
                <w:color w:val="333333"/>
                <w:lang w:val="es-ES_tradnl"/>
              </w:rPr>
              <w:t>$</w:t>
            </w:r>
          </w:p>
        </w:tc>
      </w:tr>
      <w:tr w:rsidR="0095441B" w:rsidRPr="0077244E" w14:paraId="527F33BC" w14:textId="77777777" w:rsidTr="00943953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bottom w:val="single" w:sz="24" w:space="0" w:color="FFCD0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2823C5" w14:textId="3BDE5DD8" w:rsidR="00F95D13" w:rsidRPr="0077244E" w:rsidRDefault="004A73F6" w:rsidP="004A73F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4A73F6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Audífonos y baterías para audífonos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bottom w:val="single" w:sz="24" w:space="0" w:color="FFCD06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F120AC" w14:textId="77777777" w:rsidR="00F95D13" w:rsidRPr="0077244E" w:rsidRDefault="00322EAC" w:rsidP="006542FF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hAnsi="Calibri"/>
                <w:color w:val="333333"/>
                <w:lang w:val="es-ES_tradnl"/>
              </w:rPr>
              <w:t>$</w:t>
            </w:r>
          </w:p>
        </w:tc>
      </w:tr>
      <w:tr w:rsidR="0095441B" w:rsidRPr="0077244E" w14:paraId="1B3EB33C" w14:textId="77777777" w:rsidTr="00943953">
        <w:trPr>
          <w:trHeight w:val="422"/>
        </w:trPr>
        <w:tc>
          <w:tcPr>
            <w:tcW w:w="8466" w:type="dxa"/>
            <w:tcBorders>
              <w:top w:val="single" w:sz="24" w:space="0" w:color="FFCD06"/>
              <w:left w:val="single" w:sz="24" w:space="0" w:color="FFCD06"/>
              <w:bottom w:val="single" w:sz="24" w:space="0" w:color="FFCD06"/>
              <w:right w:val="single" w:sz="4" w:space="0" w:color="3B60AA"/>
            </w:tcBorders>
            <w:vAlign w:val="center"/>
          </w:tcPr>
          <w:p w14:paraId="74F0978C" w14:textId="77777777" w:rsidR="00F95D13" w:rsidRPr="0077244E" w:rsidRDefault="00322EAC" w:rsidP="00F95D13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Gastos estimados de desembolso directo totales para atención médica</w:t>
            </w:r>
          </w:p>
        </w:tc>
        <w:tc>
          <w:tcPr>
            <w:tcW w:w="1705" w:type="dxa"/>
            <w:tcBorders>
              <w:top w:val="single" w:sz="24" w:space="0" w:color="FFCD06"/>
              <w:left w:val="single" w:sz="4" w:space="0" w:color="3B60AA"/>
              <w:bottom w:val="single" w:sz="24" w:space="0" w:color="FFCD06"/>
              <w:right w:val="single" w:sz="24" w:space="0" w:color="FFCD06"/>
            </w:tcBorders>
            <w:vAlign w:val="center"/>
          </w:tcPr>
          <w:p w14:paraId="4CF2D769" w14:textId="77777777" w:rsidR="00F95D13" w:rsidRPr="0077244E" w:rsidRDefault="00322EAC" w:rsidP="006542FF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77244E">
              <w:rPr>
                <w:rFonts w:ascii="Calibri" w:hAnsi="Calibri"/>
                <w:b/>
                <w:color w:val="333333"/>
                <w:sz w:val="24"/>
                <w:lang w:val="es-ES_tradnl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979" w:tblpY="530"/>
        <w:tblW w:w="10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7"/>
        <w:gridCol w:w="1615"/>
      </w:tblGrid>
      <w:tr w:rsidR="0095441B" w:rsidRPr="004A73F6" w14:paraId="66FBF773" w14:textId="77777777" w:rsidTr="00EF769F">
        <w:trPr>
          <w:trHeight w:val="557"/>
        </w:trPr>
        <w:tc>
          <w:tcPr>
            <w:tcW w:w="10252" w:type="dxa"/>
            <w:gridSpan w:val="2"/>
            <w:tcBorders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4F6EC157" w14:textId="77777777" w:rsidR="001C64BB" w:rsidRPr="0077244E" w:rsidRDefault="00322EAC" w:rsidP="00BB115C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b/>
                <w:bCs/>
                <w:color w:val="333333"/>
                <w:sz w:val="28"/>
                <w:szCs w:val="28"/>
                <w:bdr w:val="nil"/>
                <w:lang w:val="es-ES_tradnl"/>
              </w:rPr>
              <w:t>Estime sus ahorros anuales de impuestos de una FSA de atención médica</w:t>
            </w:r>
          </w:p>
        </w:tc>
      </w:tr>
      <w:tr w:rsidR="0095441B" w:rsidRPr="0077244E" w14:paraId="63A2B591" w14:textId="77777777" w:rsidTr="00EF769F">
        <w:trPr>
          <w:trHeight w:val="366"/>
        </w:trPr>
        <w:tc>
          <w:tcPr>
            <w:tcW w:w="86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50F69A" w14:textId="77777777" w:rsidR="001C64BB" w:rsidRPr="0077244E" w:rsidRDefault="00322EAC" w:rsidP="00BB115C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Ingrese sus gastos totales de desembolso directo para atención médica de la información proporcionada anteriormente</w:t>
            </w:r>
          </w:p>
        </w:tc>
        <w:tc>
          <w:tcPr>
            <w:tcW w:w="1615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116D81" w14:textId="77777777" w:rsidR="001C64BB" w:rsidRPr="0077244E" w:rsidRDefault="00322EAC" w:rsidP="00452D0B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hAnsi="Calibri"/>
                <w:color w:val="333333"/>
                <w:lang w:val="es-ES_tradnl"/>
              </w:rPr>
              <w:t xml:space="preserve">$ </w:t>
            </w:r>
          </w:p>
        </w:tc>
      </w:tr>
      <w:tr w:rsidR="0095441B" w:rsidRPr="0077244E" w14:paraId="5F97F11F" w14:textId="77777777" w:rsidTr="00943953">
        <w:trPr>
          <w:trHeight w:val="366"/>
        </w:trPr>
        <w:tc>
          <w:tcPr>
            <w:tcW w:w="8637" w:type="dxa"/>
            <w:tcBorders>
              <w:left w:val="single" w:sz="8" w:space="0" w:color="D9D9D9" w:themeColor="background1" w:themeShade="D9"/>
              <w:bottom w:val="single" w:sz="24" w:space="0" w:color="FFCD06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1C755B" w14:textId="77777777" w:rsidR="001C64BB" w:rsidRPr="0077244E" w:rsidRDefault="00322EAC" w:rsidP="00530CA3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Ingrese su tasa impositiva</w:t>
            </w:r>
            <w:r w:rsidRPr="0077244E">
              <w:rPr>
                <w:rFonts w:ascii="Calibri" w:eastAsia="Arial Narrow" w:hAnsi="Calibri" w:cs="Arial Narrow"/>
                <w:color w:val="333333"/>
                <w:bdr w:val="nil"/>
                <w:vertAlign w:val="superscript"/>
                <w:lang w:val="es-ES_tradnl"/>
              </w:rPr>
              <w:t>1</w:t>
            </w:r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y multiplique</w:t>
            </w:r>
          </w:p>
        </w:tc>
        <w:tc>
          <w:tcPr>
            <w:tcW w:w="1615" w:type="dxa"/>
            <w:tcBorders>
              <w:left w:val="single" w:sz="4" w:space="0" w:color="D9D9D9" w:themeColor="background1" w:themeShade="D9"/>
              <w:bottom w:val="single" w:sz="24" w:space="0" w:color="FFCD06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2CF23AA" w14:textId="7462AB9E" w:rsidR="001C64BB" w:rsidRPr="0077244E" w:rsidRDefault="00322EAC" w:rsidP="00590B72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x %</w:t>
            </w:r>
          </w:p>
        </w:tc>
      </w:tr>
      <w:tr w:rsidR="0095441B" w:rsidRPr="0077244E" w14:paraId="069FEBF3" w14:textId="77777777" w:rsidTr="00943953">
        <w:trPr>
          <w:trHeight w:val="422"/>
        </w:trPr>
        <w:tc>
          <w:tcPr>
            <w:tcW w:w="8637" w:type="dxa"/>
            <w:tcBorders>
              <w:top w:val="single" w:sz="24" w:space="0" w:color="FFCD06"/>
              <w:left w:val="single" w:sz="24" w:space="0" w:color="FFCD06"/>
              <w:bottom w:val="single" w:sz="24" w:space="0" w:color="FFCD06"/>
              <w:right w:val="single" w:sz="4" w:space="0" w:color="3B60AA"/>
            </w:tcBorders>
            <w:vAlign w:val="center"/>
          </w:tcPr>
          <w:p w14:paraId="630A0D3A" w14:textId="77777777" w:rsidR="001C64BB" w:rsidRPr="0077244E" w:rsidRDefault="00322EAC" w:rsidP="00BB115C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77244E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Este es su ahorro anual de impuestos estimado con una FSA médica</w:t>
            </w:r>
          </w:p>
        </w:tc>
        <w:tc>
          <w:tcPr>
            <w:tcW w:w="1615" w:type="dxa"/>
            <w:tcBorders>
              <w:top w:val="single" w:sz="24" w:space="0" w:color="FFCD06"/>
              <w:left w:val="single" w:sz="4" w:space="0" w:color="3B60AA"/>
              <w:bottom w:val="single" w:sz="24" w:space="0" w:color="FFCD06"/>
              <w:right w:val="single" w:sz="24" w:space="0" w:color="FFCD06"/>
            </w:tcBorders>
            <w:vAlign w:val="center"/>
          </w:tcPr>
          <w:p w14:paraId="13AA482F" w14:textId="77777777" w:rsidR="001C64BB" w:rsidRPr="0077244E" w:rsidRDefault="00322EAC" w:rsidP="00452D0B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77244E">
              <w:rPr>
                <w:rFonts w:ascii="Calibri" w:hAnsi="Calibri"/>
                <w:b/>
                <w:color w:val="333333"/>
                <w:sz w:val="24"/>
                <w:lang w:val="es-ES_tradnl"/>
              </w:rPr>
              <w:t xml:space="preserve">$ </w:t>
            </w:r>
          </w:p>
        </w:tc>
      </w:tr>
    </w:tbl>
    <w:p w14:paraId="402B7795" w14:textId="77777777" w:rsidR="00530CA3" w:rsidRPr="0077244E" w:rsidRDefault="00062572" w:rsidP="0066745D">
      <w:pPr>
        <w:rPr>
          <w:rFonts w:ascii="Calibri" w:hAnsi="Calibri"/>
          <w:b/>
          <w:color w:val="333333"/>
          <w:sz w:val="20"/>
          <w:lang w:val="es-ES_tradnl"/>
        </w:rPr>
      </w:pPr>
    </w:p>
    <w:p w14:paraId="5E9772B5" w14:textId="10A487D7" w:rsidR="00530CA3" w:rsidRDefault="00322EAC" w:rsidP="00C80924">
      <w:pPr>
        <w:spacing w:before="240" w:after="0"/>
        <w:rPr>
          <w:rFonts w:ascii="Calibri" w:eastAsia="Arial Narrow" w:hAnsi="Calibri" w:cs="Arial Narrow"/>
          <w:color w:val="333333"/>
          <w:sz w:val="18"/>
          <w:szCs w:val="18"/>
          <w:bdr w:val="nil"/>
          <w:lang w:val="es-ES_tradnl"/>
        </w:rPr>
      </w:pPr>
      <w:r w:rsidRPr="0077244E">
        <w:rPr>
          <w:rFonts w:ascii="Calibri" w:eastAsia="Arial Narrow" w:hAnsi="Calibri" w:cs="Arial Narrow"/>
          <w:color w:val="333333"/>
          <w:sz w:val="18"/>
          <w:szCs w:val="18"/>
          <w:bdr w:val="nil"/>
          <w:vertAlign w:val="superscript"/>
          <w:lang w:val="es-ES_tradnl"/>
        </w:rPr>
        <w:t>1</w:t>
      </w:r>
      <w:r w:rsidRPr="0077244E">
        <w:rPr>
          <w:rFonts w:ascii="Calibri" w:eastAsia="Arial Narrow" w:hAnsi="Calibri" w:cs="Arial Narrow"/>
          <w:color w:val="333333"/>
          <w:sz w:val="18"/>
          <w:szCs w:val="18"/>
          <w:bdr w:val="nil"/>
          <w:lang w:val="es-ES_tradnl"/>
        </w:rPr>
        <w:t xml:space="preserve"> Depende de su estado de declaración de impuestos. Si tiene alguna pregunta, </w:t>
      </w:r>
      <w:r w:rsidR="004A73F6" w:rsidRPr="004A73F6">
        <w:rPr>
          <w:rFonts w:ascii="Calibri" w:eastAsia="Arial Narrow" w:hAnsi="Calibri" w:cs="Arial Narrow"/>
          <w:color w:val="333333"/>
          <w:sz w:val="18"/>
          <w:szCs w:val="18"/>
          <w:bdr w:val="nil"/>
          <w:lang w:val="es-ES_tradnl"/>
        </w:rPr>
        <w:t>consulte a su asesor tributario.</w:t>
      </w:r>
    </w:p>
    <w:p w14:paraId="63265362" w14:textId="77777777" w:rsidR="00590B72" w:rsidRDefault="00590B72" w:rsidP="00C80924">
      <w:pPr>
        <w:spacing w:before="240" w:after="0"/>
        <w:rPr>
          <w:rFonts w:ascii="Calibri" w:eastAsia="Arial Narrow" w:hAnsi="Calibri" w:cs="Arial Narrow"/>
          <w:color w:val="333333"/>
          <w:sz w:val="18"/>
          <w:szCs w:val="18"/>
          <w:bdr w:val="nil"/>
          <w:lang w:val="es-ES_tradnl"/>
        </w:rPr>
      </w:pPr>
    </w:p>
    <w:p w14:paraId="5059CA11" w14:textId="77777777" w:rsidR="00590B72" w:rsidRDefault="00590B72" w:rsidP="00C80924">
      <w:pPr>
        <w:spacing w:before="240" w:after="0"/>
        <w:rPr>
          <w:rFonts w:ascii="Calibri" w:eastAsia="Arial Narrow" w:hAnsi="Calibri" w:cs="Arial Narrow"/>
          <w:color w:val="333333"/>
          <w:sz w:val="18"/>
          <w:szCs w:val="18"/>
          <w:bdr w:val="nil"/>
          <w:lang w:val="es-ES_tradnl"/>
        </w:rPr>
      </w:pPr>
    </w:p>
    <w:p w14:paraId="731872F3" w14:textId="728CF910" w:rsidR="005B38B3" w:rsidRPr="0077244E" w:rsidRDefault="00A82F80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  <w:r w:rsidRPr="00A82F80">
        <w:rPr>
          <w:i/>
          <w:iCs/>
          <w:sz w:val="18"/>
          <w:szCs w:val="18"/>
          <w:lang w:val="es-419"/>
        </w:rPr>
        <w:t xml:space="preserve">*Debido a la </w:t>
      </w:r>
      <w:proofErr w:type="spellStart"/>
      <w:r w:rsidRPr="00A82F80">
        <w:rPr>
          <w:i/>
          <w:iCs/>
          <w:sz w:val="18"/>
          <w:szCs w:val="18"/>
          <w:lang w:val="es-419"/>
        </w:rPr>
        <w:t>legislación</w:t>
      </w:r>
      <w:proofErr w:type="spellEnd"/>
      <w:r w:rsidRPr="00A82F80">
        <w:rPr>
          <w:i/>
          <w:iCs/>
          <w:sz w:val="18"/>
          <w:szCs w:val="18"/>
          <w:lang w:val="es-419"/>
        </w:rPr>
        <w:t xml:space="preserve"> de ayuda en virtud del COVID aprobada en diciembre de 2020, algunos empleadores pueden ofrecer una </w:t>
      </w:r>
      <w:proofErr w:type="spellStart"/>
      <w:r w:rsidRPr="00A82F80">
        <w:rPr>
          <w:i/>
          <w:iCs/>
          <w:sz w:val="18"/>
          <w:szCs w:val="18"/>
          <w:lang w:val="es-419"/>
        </w:rPr>
        <w:t>extensión</w:t>
      </w:r>
      <w:proofErr w:type="spellEnd"/>
      <w:r w:rsidRPr="00A82F80">
        <w:rPr>
          <w:i/>
          <w:iCs/>
          <w:sz w:val="18"/>
          <w:szCs w:val="18"/>
          <w:lang w:val="es-419"/>
        </w:rPr>
        <w:t xml:space="preserve"> temporal del saldo de la FSA o del </w:t>
      </w:r>
      <w:proofErr w:type="spellStart"/>
      <w:r w:rsidRPr="00A82F80">
        <w:rPr>
          <w:i/>
          <w:iCs/>
          <w:sz w:val="18"/>
          <w:szCs w:val="18"/>
          <w:lang w:val="es-419"/>
        </w:rPr>
        <w:t>período</w:t>
      </w:r>
      <w:proofErr w:type="spellEnd"/>
      <w:r w:rsidRPr="00A82F80">
        <w:rPr>
          <w:i/>
          <w:iCs/>
          <w:sz w:val="18"/>
          <w:szCs w:val="18"/>
          <w:lang w:val="es-419"/>
        </w:rPr>
        <w:t xml:space="preserve"> de gracia.</w:t>
      </w:r>
      <w:r w:rsidR="00590B72" w:rsidRPr="00590B72">
        <w:rPr>
          <w:i/>
          <w:iCs/>
          <w:sz w:val="18"/>
          <w:szCs w:val="18"/>
          <w:lang w:val="es-419"/>
        </w:rPr>
        <w:cr/>
      </w:r>
      <w:r w:rsidR="00BA1FE8">
        <w:rPr>
          <w:rFonts w:ascii="Calibri" w:hAnsi="Calibri"/>
          <w:noProof/>
          <w:color w:val="333333"/>
          <w:sz w:val="2"/>
          <w:szCs w:val="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CC2E1" wp14:editId="490EA475">
                <wp:simplePos x="0" y="0"/>
                <wp:positionH relativeFrom="column">
                  <wp:posOffset>-115570</wp:posOffset>
                </wp:positionH>
                <wp:positionV relativeFrom="page">
                  <wp:posOffset>9491345</wp:posOffset>
                </wp:positionV>
                <wp:extent cx="1812925" cy="226695"/>
                <wp:effectExtent l="635" t="444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B3B52" w14:textId="555CC60A" w:rsidR="00FB4AAF" w:rsidRPr="00302218" w:rsidRDefault="00560010" w:rsidP="00FB4AAF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F7F7F" w:themeColor="text1" w:themeTint="80"/>
                                <w:sz w:val="20"/>
                              </w:rPr>
                              <w:t>X21877</w:t>
                            </w:r>
                            <w:r w:rsidR="0077244E">
                              <w:rPr>
                                <w:rFonts w:ascii="Arial Narrow" w:hAnsi="Arial Narrow"/>
                                <w:color w:val="7F7F7F" w:themeColor="text1" w:themeTint="80"/>
                                <w:sz w:val="20"/>
                              </w:rPr>
                              <w:t>R0</w:t>
                            </w:r>
                            <w:r w:rsidR="00BA1FE8">
                              <w:rPr>
                                <w:rFonts w:ascii="Arial Narrow" w:hAnsi="Arial Narrow"/>
                                <w:color w:val="7F7F7F" w:themeColor="text1" w:themeTint="80"/>
                                <w:sz w:val="20"/>
                              </w:rPr>
                              <w:t>4 (03/21)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CC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pt;margin-top:747.35pt;width:142.7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E/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" filled="f" stroked="f">
                <v:textbox>
                  <w:txbxContent>
                    <w:p w14:paraId="17BB3B52" w14:textId="555CC60A" w:rsidR="00FB4AAF" w:rsidRPr="00302218" w:rsidRDefault="00560010" w:rsidP="00FB4AAF">
                      <w:pPr>
                        <w:rPr>
                          <w:rFonts w:ascii="Arial Narrow" w:hAnsi="Arial Narrow"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olor w:val="7F7F7F" w:themeColor="text1" w:themeTint="80"/>
                          <w:sz w:val="20"/>
                        </w:rPr>
                        <w:t>X21877</w:t>
                      </w:r>
                      <w:r w:rsidR="0077244E">
                        <w:rPr>
                          <w:rFonts w:ascii="Arial Narrow" w:hAnsi="Arial Narrow"/>
                          <w:color w:val="7F7F7F" w:themeColor="text1" w:themeTint="80"/>
                          <w:sz w:val="20"/>
                        </w:rPr>
                        <w:t>R0</w:t>
                      </w:r>
                      <w:r w:rsidR="00BA1FE8">
                        <w:rPr>
                          <w:rFonts w:ascii="Arial Narrow" w:hAnsi="Arial Narrow"/>
                          <w:color w:val="7F7F7F" w:themeColor="text1" w:themeTint="80"/>
                          <w:sz w:val="20"/>
                        </w:rPr>
                        <w:t>4 (03/21)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5B38B3" w:rsidRPr="0077244E" w:rsidSect="00180857">
      <w:headerReference w:type="first" r:id="rId7"/>
      <w:type w:val="continuous"/>
      <w:pgSz w:w="12240" w:h="15840"/>
      <w:pgMar w:top="2448" w:right="1008" w:bottom="720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39B3" w14:textId="77777777" w:rsidR="00062572" w:rsidRDefault="00062572">
      <w:pPr>
        <w:spacing w:after="0" w:line="240" w:lineRule="auto"/>
      </w:pPr>
      <w:r>
        <w:separator/>
      </w:r>
    </w:p>
  </w:endnote>
  <w:endnote w:type="continuationSeparator" w:id="0">
    <w:p w14:paraId="050BA211" w14:textId="77777777" w:rsidR="00062572" w:rsidRDefault="0006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8F0C2" w14:textId="77777777" w:rsidR="00062572" w:rsidRDefault="00062572">
      <w:pPr>
        <w:spacing w:after="0" w:line="240" w:lineRule="auto"/>
      </w:pPr>
      <w:r>
        <w:separator/>
      </w:r>
    </w:p>
  </w:footnote>
  <w:footnote w:type="continuationSeparator" w:id="0">
    <w:p w14:paraId="64A8DBAA" w14:textId="77777777" w:rsidR="00062572" w:rsidRDefault="0006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8E1E" w14:textId="0A1270E7" w:rsidR="0077244E" w:rsidRDefault="0077244E" w:rsidP="0077244E">
    <w:pPr>
      <w:rPr>
        <w:rFonts w:ascii="Arial Narrow" w:hAnsi="Arial Narrow"/>
        <w:color w:val="FFCD06"/>
        <w:sz w:val="48"/>
        <w:szCs w:val="48"/>
        <w:lang w:val="es-ES"/>
      </w:rPr>
    </w:pPr>
    <w:r>
      <w:rPr>
        <w:noProof/>
        <w:color w:val="FFCD06"/>
        <w:sz w:val="52"/>
        <w:lang w:eastAsia="zh-CN"/>
      </w:rPr>
      <w:drawing>
        <wp:anchor distT="0" distB="0" distL="114300" distR="114300" simplePos="0" relativeHeight="251659264" behindDoc="0" locked="0" layoutInCell="1" allowOverlap="1" wp14:anchorId="1D9A789D" wp14:editId="3FFC502B">
          <wp:simplePos x="0" y="0"/>
          <wp:positionH relativeFrom="column">
            <wp:posOffset>4915535</wp:posOffset>
          </wp:positionH>
          <wp:positionV relativeFrom="paragraph">
            <wp:posOffset>87630</wp:posOffset>
          </wp:positionV>
          <wp:extent cx="1684020" cy="455295"/>
          <wp:effectExtent l="0" t="0" r="0" b="1905"/>
          <wp:wrapTight wrapText="bothSides">
            <wp:wrapPolygon edited="0">
              <wp:start x="18896" y="0"/>
              <wp:lineTo x="0" y="9640"/>
              <wp:lineTo x="0" y="20485"/>
              <wp:lineTo x="20199" y="20485"/>
              <wp:lineTo x="21176" y="7230"/>
              <wp:lineTo x="21176" y="4820"/>
              <wp:lineTo x="20525" y="0"/>
              <wp:lineTo x="18896" y="0"/>
            </wp:wrapPolygon>
          </wp:wrapTight>
          <wp:docPr id="1" name="Picture 1" descr="../../+Brand/Logos/Primary%20Logos/PNG/Further_workdmark_Yellow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+Brand/Logos/Primary%20Logos/PNG/Further_workdmark_Yellow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9ABBF" w14:textId="12DB81E2" w:rsidR="0077244E" w:rsidRPr="0077244E" w:rsidRDefault="0077244E" w:rsidP="0077244E">
    <w:pPr>
      <w:rPr>
        <w:rFonts w:ascii="Arial Narrow" w:hAnsi="Arial Narrow"/>
        <w:color w:val="FFCD06"/>
        <w:sz w:val="48"/>
        <w:szCs w:val="48"/>
        <w:lang w:val="es-ES"/>
      </w:rPr>
    </w:pPr>
    <w:r w:rsidRPr="0077244E">
      <w:rPr>
        <w:rFonts w:ascii="Arial Narrow" w:hAnsi="Arial Narrow"/>
        <w:color w:val="FFCD06"/>
        <w:sz w:val="48"/>
        <w:szCs w:val="48"/>
        <w:lang w:val="es-ES"/>
      </w:rPr>
      <w:t>Hoja de trabajo de la FSA médica</w:t>
    </w:r>
  </w:p>
  <w:p w14:paraId="1449A9E4" w14:textId="021FB2C4" w:rsidR="0066745D" w:rsidRPr="00590B72" w:rsidRDefault="00062572">
    <w:pPr>
      <w:pStyle w:val="Header"/>
      <w:rPr>
        <w:sz w:val="2"/>
        <w:szCs w:val="2"/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6F2"/>
    <w:multiLevelType w:val="hybridMultilevel"/>
    <w:tmpl w:val="F5A69730"/>
    <w:lvl w:ilvl="0" w:tplc="1B829D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95"/>
        <w:u w:color="3B60AA"/>
      </w:rPr>
    </w:lvl>
    <w:lvl w:ilvl="1" w:tplc="66204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EB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AB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00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28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CD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09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0C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A24"/>
    <w:multiLevelType w:val="hybridMultilevel"/>
    <w:tmpl w:val="FD460ECC"/>
    <w:lvl w:ilvl="0" w:tplc="E4681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C0A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06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81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81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27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43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C9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E7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B23BB"/>
    <w:multiLevelType w:val="hybridMultilevel"/>
    <w:tmpl w:val="FF285D20"/>
    <w:lvl w:ilvl="0" w:tplc="FA4CC2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4322C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AFF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0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4A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8E3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C8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89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65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327D4"/>
    <w:multiLevelType w:val="hybridMultilevel"/>
    <w:tmpl w:val="56EAE454"/>
    <w:lvl w:ilvl="0" w:tplc="78F4B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95"/>
        <w:u w:color="3B60AA"/>
      </w:rPr>
    </w:lvl>
    <w:lvl w:ilvl="1" w:tplc="29609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AE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E9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01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78B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8E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45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27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F18D4"/>
    <w:multiLevelType w:val="hybridMultilevel"/>
    <w:tmpl w:val="859646BC"/>
    <w:lvl w:ilvl="0" w:tplc="71960A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587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C29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E18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2C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7AC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6A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20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8C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A2BE5"/>
    <w:multiLevelType w:val="hybridMultilevel"/>
    <w:tmpl w:val="66BCB12C"/>
    <w:lvl w:ilvl="0" w:tplc="30FCC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06"/>
        <w:u w:color="3B60AA"/>
      </w:rPr>
    </w:lvl>
    <w:lvl w:ilvl="1" w:tplc="29609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AE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E9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01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78B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8E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45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27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4021F"/>
    <w:multiLevelType w:val="hybridMultilevel"/>
    <w:tmpl w:val="3EDA936A"/>
    <w:lvl w:ilvl="0" w:tplc="30FCC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06"/>
        <w:u w:color="3B60AA"/>
      </w:rPr>
    </w:lvl>
    <w:lvl w:ilvl="1" w:tplc="66204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EB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AB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00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28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CD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09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0C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C1787"/>
    <w:multiLevelType w:val="hybridMultilevel"/>
    <w:tmpl w:val="B9801102"/>
    <w:lvl w:ilvl="0" w:tplc="B134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2C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A9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60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EC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2B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8F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D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A27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41E9E"/>
    <w:multiLevelType w:val="hybridMultilevel"/>
    <w:tmpl w:val="FAF666D8"/>
    <w:lvl w:ilvl="0" w:tplc="CC628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AC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22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2F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2D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E04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05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E2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225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87D4A"/>
    <w:multiLevelType w:val="hybridMultilevel"/>
    <w:tmpl w:val="86A27626"/>
    <w:lvl w:ilvl="0" w:tplc="C052B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22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07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09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CC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5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41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E7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62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143D0"/>
    <w:multiLevelType w:val="hybridMultilevel"/>
    <w:tmpl w:val="A00C7DB4"/>
    <w:lvl w:ilvl="0" w:tplc="A920D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721C1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8A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E0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AB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8F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42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EC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60D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1B"/>
    <w:rsid w:val="00004E8C"/>
    <w:rsid w:val="00062572"/>
    <w:rsid w:val="000C2C3F"/>
    <w:rsid w:val="00190A04"/>
    <w:rsid w:val="001A7480"/>
    <w:rsid w:val="001C2ECD"/>
    <w:rsid w:val="00283F21"/>
    <w:rsid w:val="00322EAC"/>
    <w:rsid w:val="0035475A"/>
    <w:rsid w:val="00394ABB"/>
    <w:rsid w:val="004A73F6"/>
    <w:rsid w:val="00560010"/>
    <w:rsid w:val="005875FF"/>
    <w:rsid w:val="00590B72"/>
    <w:rsid w:val="0077244E"/>
    <w:rsid w:val="00875480"/>
    <w:rsid w:val="00943953"/>
    <w:rsid w:val="0095441B"/>
    <w:rsid w:val="00A82F80"/>
    <w:rsid w:val="00BA1FE8"/>
    <w:rsid w:val="00BB5E82"/>
    <w:rsid w:val="00C86D34"/>
    <w:rsid w:val="00EA4B17"/>
    <w:rsid w:val="00F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BBF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9"/>
  </w:style>
  <w:style w:type="paragraph" w:styleId="Footer">
    <w:name w:val="footer"/>
    <w:basedOn w:val="Normal"/>
    <w:link w:val="Foot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9"/>
  </w:style>
  <w:style w:type="table" w:styleId="TableGrid">
    <w:name w:val="Table Grid"/>
    <w:basedOn w:val="TableNormal"/>
    <w:uiPriority w:val="39"/>
    <w:rsid w:val="003C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3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1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FE8"/>
    <w:rPr>
      <w:b/>
      <w:bCs/>
      <w:sz w:val="20"/>
      <w:szCs w:val="20"/>
    </w:rPr>
  </w:style>
  <w:style w:type="paragraph" w:customStyle="1" w:styleId="Default">
    <w:name w:val="Default"/>
    <w:rsid w:val="00BA1FE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Harper, Doc</cp:lastModifiedBy>
  <cp:revision>2</cp:revision>
  <cp:lastPrinted>2017-08-09T18:42:00Z</cp:lastPrinted>
  <dcterms:created xsi:type="dcterms:W3CDTF">2021-03-10T22:26:00Z</dcterms:created>
  <dcterms:modified xsi:type="dcterms:W3CDTF">2021-03-10T22:26:00Z</dcterms:modified>
</cp:coreProperties>
</file>