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8D4C" w14:textId="6FB2A77E" w:rsidR="00C25564" w:rsidRDefault="00C25564" w:rsidP="003425D8">
      <w:pPr>
        <w:spacing w:after="0"/>
        <w:rPr>
          <w:rFonts w:ascii="Arial Narrow" w:hAnsi="Arial Narrow"/>
          <w:b/>
        </w:rPr>
      </w:pPr>
    </w:p>
    <w:p w14:paraId="3819D767" w14:textId="77777777" w:rsidR="00D20F8E" w:rsidRDefault="00D20F8E" w:rsidP="003425D8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10800" w:type="dxa"/>
        <w:tblInd w:w="-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629"/>
        <w:gridCol w:w="1053"/>
        <w:gridCol w:w="1017"/>
        <w:gridCol w:w="1017"/>
        <w:gridCol w:w="3048"/>
        <w:gridCol w:w="3036"/>
      </w:tblGrid>
      <w:tr w:rsidR="00945E32" w:rsidRPr="008F7B61" w14:paraId="3D62137B" w14:textId="77777777" w:rsidTr="00856634">
        <w:trPr>
          <w:trHeight w:val="871"/>
        </w:trPr>
        <w:tc>
          <w:tcPr>
            <w:tcW w:w="162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4D6A843C" w14:textId="77777777" w:rsidR="00A923C6" w:rsidRPr="008F7B61" w:rsidRDefault="00A923C6" w:rsidP="00A923C6">
            <w:pPr>
              <w:spacing w:before="120" w:after="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3087" w:type="dxa"/>
            <w:gridSpan w:val="3"/>
            <w:tcBorders>
              <w:top w:val="single" w:sz="8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D06"/>
            <w:vAlign w:val="center"/>
          </w:tcPr>
          <w:p w14:paraId="0A5FD3A8" w14:textId="77777777" w:rsidR="00A923C6" w:rsidRPr="00D937C0" w:rsidRDefault="00A923C6" w:rsidP="00A923C6">
            <w:pPr>
              <w:spacing w:after="0"/>
              <w:jc w:val="center"/>
              <w:rPr>
                <w:rFonts w:ascii="Arial Narrow" w:hAnsi="Arial Narrow" w:cs="Calibri"/>
                <w:b/>
                <w:color w:val="000000" w:themeColor="text1"/>
                <w:sz w:val="28"/>
                <w:szCs w:val="28"/>
              </w:rPr>
            </w:pPr>
            <w:r w:rsidRPr="00D937C0">
              <w:rPr>
                <w:rFonts w:ascii="Arial Narrow" w:hAnsi="Arial Narrow" w:cs="Calibri"/>
                <w:b/>
                <w:color w:val="000000" w:themeColor="text1"/>
                <w:sz w:val="28"/>
                <w:szCs w:val="28"/>
              </w:rPr>
              <w:t>Health Savings Account (HSA)</w:t>
            </w:r>
          </w:p>
        </w:tc>
        <w:tc>
          <w:tcPr>
            <w:tcW w:w="3048" w:type="dxa"/>
            <w:tcBorders>
              <w:top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D06"/>
            <w:vAlign w:val="center"/>
          </w:tcPr>
          <w:p w14:paraId="1947900D" w14:textId="77777777" w:rsidR="00A923C6" w:rsidRPr="00D937C0" w:rsidRDefault="00A923C6" w:rsidP="00A923C6">
            <w:pPr>
              <w:spacing w:after="0"/>
              <w:jc w:val="center"/>
              <w:rPr>
                <w:rFonts w:ascii="Arial Narrow" w:hAnsi="Arial Narrow" w:cs="Calibri"/>
                <w:b/>
                <w:color w:val="000000" w:themeColor="text1"/>
                <w:sz w:val="28"/>
                <w:szCs w:val="28"/>
              </w:rPr>
            </w:pPr>
            <w:r w:rsidRPr="00D937C0">
              <w:rPr>
                <w:rFonts w:ascii="Arial Narrow" w:hAnsi="Arial Narrow" w:cs="Calibri"/>
                <w:b/>
                <w:color w:val="000000" w:themeColor="text1"/>
                <w:sz w:val="28"/>
                <w:szCs w:val="28"/>
              </w:rPr>
              <w:t>Health Reimbursement Arrangement (HRA)</w:t>
            </w:r>
          </w:p>
        </w:tc>
        <w:tc>
          <w:tcPr>
            <w:tcW w:w="3036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CD06"/>
            <w:vAlign w:val="center"/>
          </w:tcPr>
          <w:p w14:paraId="696E0927" w14:textId="77777777" w:rsidR="00A923C6" w:rsidRPr="00D937C0" w:rsidRDefault="00A923C6" w:rsidP="00A923C6">
            <w:pPr>
              <w:spacing w:after="0"/>
              <w:jc w:val="center"/>
              <w:rPr>
                <w:rFonts w:ascii="Arial Narrow" w:hAnsi="Arial Narrow" w:cs="Calibri"/>
                <w:b/>
                <w:color w:val="000000" w:themeColor="text1"/>
                <w:sz w:val="28"/>
                <w:szCs w:val="28"/>
              </w:rPr>
            </w:pPr>
            <w:r w:rsidRPr="00D937C0">
              <w:rPr>
                <w:rFonts w:ascii="Arial Narrow" w:hAnsi="Arial Narrow" w:cs="Calibri"/>
                <w:b/>
                <w:color w:val="000000" w:themeColor="text1"/>
                <w:sz w:val="28"/>
                <w:szCs w:val="28"/>
              </w:rPr>
              <w:t xml:space="preserve">Flexible Spending </w:t>
            </w:r>
            <w:r w:rsidR="00234AFC" w:rsidRPr="00D937C0">
              <w:rPr>
                <w:rFonts w:ascii="Arial Narrow" w:hAnsi="Arial Narrow" w:cs="Calibri"/>
                <w:b/>
                <w:color w:val="000000" w:themeColor="text1"/>
                <w:sz w:val="28"/>
                <w:szCs w:val="28"/>
              </w:rPr>
              <w:t xml:space="preserve">Account </w:t>
            </w:r>
            <w:r w:rsidRPr="00D937C0">
              <w:rPr>
                <w:rFonts w:ascii="Arial Narrow" w:hAnsi="Arial Narrow" w:cs="Calibri"/>
                <w:b/>
                <w:color w:val="000000" w:themeColor="text1"/>
                <w:sz w:val="28"/>
                <w:szCs w:val="28"/>
              </w:rPr>
              <w:t>(FSA)</w:t>
            </w:r>
          </w:p>
        </w:tc>
      </w:tr>
      <w:tr w:rsidR="00945E32" w:rsidRPr="008F7B61" w14:paraId="676706FA" w14:textId="77777777" w:rsidTr="00D937C0">
        <w:trPr>
          <w:trHeight w:val="3734"/>
        </w:trPr>
        <w:tc>
          <w:tcPr>
            <w:tcW w:w="1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922840" w14:textId="77777777" w:rsidR="00A923C6" w:rsidRPr="00D937C0" w:rsidRDefault="00A923C6" w:rsidP="00F92B2D">
            <w:pPr>
              <w:pStyle w:val="ListParagraph"/>
              <w:spacing w:after="0"/>
              <w:ind w:left="0"/>
              <w:rPr>
                <w:rFonts w:ascii="Arial Narrow" w:hAnsi="Arial Narrow" w:cs="Calibri"/>
                <w:b/>
                <w:color w:val="404040" w:themeColor="text1" w:themeTint="BF"/>
                <w:sz w:val="24"/>
                <w:szCs w:val="24"/>
              </w:rPr>
            </w:pPr>
            <w:r w:rsidRPr="00D937C0">
              <w:rPr>
                <w:rFonts w:ascii="Arial Narrow" w:hAnsi="Arial Narrow" w:cs="Calibri"/>
                <w:b/>
                <w:color w:val="404040" w:themeColor="text1" w:themeTint="BF"/>
                <w:sz w:val="24"/>
                <w:szCs w:val="24"/>
              </w:rPr>
              <w:t>What is it?</w:t>
            </w:r>
          </w:p>
        </w:tc>
        <w:tc>
          <w:tcPr>
            <w:tcW w:w="308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F25E5" w14:textId="77777777" w:rsidR="00A923C6" w:rsidRPr="00D937C0" w:rsidRDefault="00A923C6" w:rsidP="00704D77">
            <w:pPr>
              <w:spacing w:after="0" w:line="241" w:lineRule="auto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HSAs are individual expense accounts owned by employees that allow for tax-free payment or reimbursement of eligible medical expenses. </w:t>
            </w:r>
          </w:p>
          <w:p w14:paraId="4113EA81" w14:textId="3D442BDC" w:rsidR="00A923C6" w:rsidRPr="00D937C0" w:rsidRDefault="00A923C6" w:rsidP="00D95324">
            <w:pPr>
              <w:spacing w:before="120" w:after="0"/>
              <w:rPr>
                <w:rFonts w:ascii="Arial Narrow" w:hAnsi="Arial Narrow" w:cs="Calibri"/>
                <w:color w:val="333333"/>
              </w:rPr>
            </w:pPr>
          </w:p>
        </w:tc>
        <w:tc>
          <w:tcPr>
            <w:tcW w:w="30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18393F" w14:textId="77777777" w:rsidR="00A923C6" w:rsidRPr="00D937C0" w:rsidRDefault="00A923C6" w:rsidP="00D95324">
            <w:pPr>
              <w:spacing w:after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HRAs are employer-funded, tax advantaged plans used to reimburse employees for eligible medical expenses. </w:t>
            </w:r>
          </w:p>
          <w:p w14:paraId="2058EC52" w14:textId="77777777" w:rsidR="00A923C6" w:rsidRPr="00D937C0" w:rsidRDefault="00A923C6" w:rsidP="00D95324">
            <w:pPr>
              <w:spacing w:before="120" w:after="0" w:line="241" w:lineRule="auto"/>
              <w:ind w:right="39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With an Integrated HRA, the HRA is paired with </w:t>
            </w:r>
            <w:r w:rsidR="00565CA1" w:rsidRPr="00D937C0">
              <w:rPr>
                <w:rFonts w:ascii="Arial Narrow" w:hAnsi="Arial Narrow" w:cs="Calibri"/>
                <w:color w:val="333333"/>
              </w:rPr>
              <w:t>any eligible health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plan to reimburse employees for their </w:t>
            </w:r>
            <w:r w:rsidR="00565CA1" w:rsidRPr="00D937C0">
              <w:rPr>
                <w:rFonts w:ascii="Arial Narrow" w:hAnsi="Arial Narrow" w:cs="Calibri"/>
                <w:color w:val="333333"/>
              </w:rPr>
              <w:t xml:space="preserve">eligible 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expenses.  </w:t>
            </w:r>
          </w:p>
          <w:p w14:paraId="0E6ED5BE" w14:textId="77777777" w:rsidR="00A923C6" w:rsidRPr="00D937C0" w:rsidRDefault="00A923C6" w:rsidP="00D95324">
            <w:pPr>
              <w:spacing w:before="120" w:after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Spouses and dependents are also eligible to have medical expenses reimbursed </w:t>
            </w:r>
            <w:r w:rsidR="007313A5" w:rsidRPr="00D937C0">
              <w:rPr>
                <w:rFonts w:ascii="Arial Narrow" w:hAnsi="Arial Narrow" w:cs="Calibri"/>
                <w:color w:val="333333"/>
              </w:rPr>
              <w:t>if covered under the same health plan.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 </w:t>
            </w:r>
          </w:p>
        </w:tc>
        <w:tc>
          <w:tcPr>
            <w:tcW w:w="3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A863B" w14:textId="77777777" w:rsidR="007313A5" w:rsidRPr="00D937C0" w:rsidRDefault="00A923C6" w:rsidP="00D95324">
            <w:pPr>
              <w:spacing w:after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Medical FSAs are employer established health care spending account</w:t>
            </w:r>
            <w:r w:rsidR="005D6A33" w:rsidRPr="00D937C0">
              <w:rPr>
                <w:rFonts w:ascii="Arial Narrow" w:hAnsi="Arial Narrow" w:cs="Calibri"/>
                <w:color w:val="333333"/>
              </w:rPr>
              <w:t>s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</w:t>
            </w:r>
            <w:r w:rsidR="007313A5" w:rsidRPr="00D937C0">
              <w:rPr>
                <w:rFonts w:ascii="Arial Narrow" w:hAnsi="Arial Narrow" w:cs="Calibri"/>
                <w:color w:val="333333"/>
              </w:rPr>
              <w:t xml:space="preserve">that allow for tax-free contribution and reimbursement of eligible medical expenses. </w:t>
            </w:r>
          </w:p>
          <w:p w14:paraId="27CC65B8" w14:textId="77777777" w:rsidR="00A923C6" w:rsidRPr="00D937C0" w:rsidRDefault="00A923C6" w:rsidP="00D95324">
            <w:pPr>
              <w:spacing w:after="0"/>
              <w:rPr>
                <w:rFonts w:ascii="Arial Narrow" w:hAnsi="Arial Narrow" w:cs="Calibri"/>
                <w:color w:val="333333"/>
              </w:rPr>
            </w:pPr>
          </w:p>
        </w:tc>
      </w:tr>
      <w:tr w:rsidR="00F84F26" w:rsidRPr="008F7B61" w14:paraId="19149726" w14:textId="77777777" w:rsidTr="00D937C0">
        <w:trPr>
          <w:trHeight w:val="2780"/>
        </w:trPr>
        <w:tc>
          <w:tcPr>
            <w:tcW w:w="1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839B6E" w14:textId="77777777" w:rsidR="00FA1BDC" w:rsidRPr="00D937C0" w:rsidRDefault="00FA1BDC" w:rsidP="00F92B2D">
            <w:pPr>
              <w:pStyle w:val="ListParagraph"/>
              <w:spacing w:after="0"/>
              <w:ind w:left="0"/>
              <w:rPr>
                <w:rFonts w:ascii="Arial Narrow" w:hAnsi="Arial Narrow" w:cs="Calibri"/>
                <w:color w:val="404040" w:themeColor="text1" w:themeTint="BF"/>
                <w:sz w:val="24"/>
                <w:szCs w:val="24"/>
              </w:rPr>
            </w:pPr>
            <w:r w:rsidRPr="00D937C0">
              <w:rPr>
                <w:rFonts w:ascii="Arial Narrow" w:hAnsi="Arial Narrow" w:cs="Calibri"/>
                <w:b/>
                <w:color w:val="404040" w:themeColor="text1" w:themeTint="BF"/>
                <w:sz w:val="24"/>
                <w:szCs w:val="24"/>
              </w:rPr>
              <w:t>Who is eligible?</w:t>
            </w:r>
          </w:p>
        </w:tc>
        <w:tc>
          <w:tcPr>
            <w:tcW w:w="308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E5A291" w14:textId="2FA710FD" w:rsidR="00FA1BDC" w:rsidRPr="00D937C0" w:rsidRDefault="00FA1BDC" w:rsidP="00704D77">
            <w:pPr>
              <w:spacing w:after="0" w:line="242" w:lineRule="auto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Must have HSA-qualified health plan ($1,</w:t>
            </w:r>
            <w:r w:rsidR="001943D4" w:rsidRPr="00D937C0">
              <w:rPr>
                <w:rFonts w:ascii="Arial Narrow" w:hAnsi="Arial Narrow" w:cs="Calibri"/>
                <w:color w:val="333333"/>
              </w:rPr>
              <w:t>40</w:t>
            </w:r>
            <w:r w:rsidRPr="00D937C0">
              <w:rPr>
                <w:rFonts w:ascii="Arial Narrow" w:hAnsi="Arial Narrow" w:cs="Calibri"/>
                <w:color w:val="333333"/>
              </w:rPr>
              <w:t>0+ single / $2,</w:t>
            </w:r>
            <w:r w:rsidR="001943D4" w:rsidRPr="00D937C0">
              <w:rPr>
                <w:rFonts w:ascii="Arial Narrow" w:hAnsi="Arial Narrow" w:cs="Calibri"/>
                <w:color w:val="333333"/>
              </w:rPr>
              <w:t>8</w:t>
            </w:r>
            <w:r w:rsidRPr="00D937C0">
              <w:rPr>
                <w:rFonts w:ascii="Arial Narrow" w:hAnsi="Arial Narrow" w:cs="Calibri"/>
                <w:color w:val="333333"/>
              </w:rPr>
              <w:t>00+ family deductible in 20</w:t>
            </w:r>
            <w:r w:rsidR="001943D4" w:rsidRPr="00D937C0">
              <w:rPr>
                <w:rFonts w:ascii="Arial Narrow" w:hAnsi="Arial Narrow" w:cs="Calibri"/>
                <w:color w:val="333333"/>
              </w:rPr>
              <w:t>20</w:t>
            </w:r>
            <w:r w:rsidR="00822A3E" w:rsidRPr="00D937C0">
              <w:rPr>
                <w:rFonts w:ascii="Arial Narrow" w:hAnsi="Arial Narrow" w:cs="Calibri"/>
                <w:color w:val="333333"/>
              </w:rPr>
              <w:t xml:space="preserve"> &amp; 20</w:t>
            </w:r>
            <w:r w:rsidR="00D53E3D" w:rsidRPr="00D937C0">
              <w:rPr>
                <w:rFonts w:ascii="Arial Narrow" w:hAnsi="Arial Narrow" w:cs="Calibri"/>
                <w:color w:val="333333"/>
              </w:rPr>
              <w:t>2</w:t>
            </w:r>
            <w:r w:rsidR="001943D4" w:rsidRPr="00D937C0">
              <w:rPr>
                <w:rFonts w:ascii="Arial Narrow" w:hAnsi="Arial Narrow" w:cs="Calibri"/>
                <w:color w:val="333333"/>
              </w:rPr>
              <w:t>1</w:t>
            </w:r>
            <w:r w:rsidRPr="00D937C0">
              <w:rPr>
                <w:rFonts w:ascii="Arial Narrow" w:hAnsi="Arial Narrow" w:cs="Calibri"/>
                <w:color w:val="333333"/>
              </w:rPr>
              <w:t>)</w:t>
            </w:r>
            <w:r w:rsidR="00D937C0">
              <w:rPr>
                <w:rFonts w:ascii="Arial Narrow" w:hAnsi="Arial Narrow" w:cs="Calibri"/>
                <w:color w:val="333333"/>
              </w:rPr>
              <w:t xml:space="preserve"> and:</w:t>
            </w:r>
          </w:p>
          <w:p w14:paraId="0DC4C890" w14:textId="77777777" w:rsidR="00B20685" w:rsidRPr="00D937C0" w:rsidRDefault="00B20685" w:rsidP="00B206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Must not be covered by another health plan</w:t>
            </w:r>
          </w:p>
          <w:p w14:paraId="297F19DF" w14:textId="77777777" w:rsidR="00B20685" w:rsidRPr="00D937C0" w:rsidRDefault="00B20685" w:rsidP="00B206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Is not listed as a dependent on someone else’s taxes</w:t>
            </w:r>
          </w:p>
          <w:p w14:paraId="31EEB968" w14:textId="3EB33231" w:rsidR="00B20685" w:rsidRPr="00D937C0" w:rsidRDefault="00B20685" w:rsidP="00D937C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/>
              </w:rPr>
              <w:t xml:space="preserve">Is not enrolled in Medicare </w:t>
            </w:r>
          </w:p>
        </w:tc>
        <w:tc>
          <w:tcPr>
            <w:tcW w:w="30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4B9ABB" w14:textId="77777777" w:rsidR="00FA1BDC" w:rsidRPr="00D937C0" w:rsidRDefault="003C330A" w:rsidP="00704D77">
            <w:pPr>
              <w:spacing w:after="0" w:line="241" w:lineRule="auto"/>
              <w:ind w:right="44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All employees covered by their employers</w:t>
            </w:r>
            <w:r w:rsidR="0054485C" w:rsidRPr="00D937C0">
              <w:rPr>
                <w:rFonts w:ascii="Arial Narrow" w:hAnsi="Arial Narrow" w:cs="Calibri"/>
                <w:color w:val="333333"/>
              </w:rPr>
              <w:t>’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health plan</w:t>
            </w:r>
            <w:r w:rsidR="00FA1BDC" w:rsidRPr="00D937C0">
              <w:rPr>
                <w:rFonts w:ascii="Arial Narrow" w:hAnsi="Arial Narrow" w:cs="Calibri"/>
                <w:color w:val="333333"/>
              </w:rPr>
              <w:t xml:space="preserve">. Owner eligibility dependent on </w:t>
            </w:r>
            <w:r w:rsidR="00565CA1" w:rsidRPr="00D937C0">
              <w:rPr>
                <w:rFonts w:ascii="Arial Narrow" w:hAnsi="Arial Narrow" w:cs="Calibri"/>
                <w:color w:val="333333"/>
              </w:rPr>
              <w:t>corporate structure.</w:t>
            </w:r>
            <w:r w:rsidR="00FA1BDC" w:rsidRPr="00D937C0">
              <w:rPr>
                <w:rFonts w:ascii="Arial Narrow" w:hAnsi="Arial Narrow" w:cs="Calibri"/>
                <w:color w:val="333333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7BCA82" w14:textId="77777777" w:rsidR="00FA1BDC" w:rsidRPr="00D937C0" w:rsidRDefault="00FA1BDC" w:rsidP="00D95324">
            <w:pPr>
              <w:spacing w:after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All employees; not self-employed. </w:t>
            </w:r>
          </w:p>
        </w:tc>
      </w:tr>
      <w:tr w:rsidR="00F00BD7" w:rsidRPr="008F7B61" w14:paraId="105C959A" w14:textId="77777777" w:rsidTr="00D937C0">
        <w:trPr>
          <w:trHeight w:val="1610"/>
        </w:trPr>
        <w:tc>
          <w:tcPr>
            <w:tcW w:w="1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F74FF1" w14:textId="4E5C6AC2" w:rsidR="00D937C0" w:rsidRPr="00D937C0" w:rsidRDefault="00FA1BDC" w:rsidP="00D937C0">
            <w:pPr>
              <w:spacing w:after="0"/>
              <w:ind w:left="1"/>
              <w:rPr>
                <w:rFonts w:ascii="Arial Narrow" w:hAnsi="Arial Narrow" w:cs="Calibri"/>
                <w:b/>
                <w:color w:val="404040" w:themeColor="text1" w:themeTint="BF"/>
                <w:sz w:val="24"/>
                <w:szCs w:val="24"/>
              </w:rPr>
            </w:pPr>
            <w:r w:rsidRPr="00D937C0">
              <w:rPr>
                <w:rFonts w:ascii="Arial Narrow" w:hAnsi="Arial Narrow" w:cs="Calibri"/>
                <w:b/>
                <w:color w:val="404040" w:themeColor="text1" w:themeTint="BF"/>
                <w:sz w:val="24"/>
                <w:szCs w:val="24"/>
              </w:rPr>
              <w:t>Who can contribute?</w:t>
            </w:r>
          </w:p>
        </w:tc>
        <w:tc>
          <w:tcPr>
            <w:tcW w:w="308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2A0CD" w14:textId="77777777" w:rsidR="00FA1BDC" w:rsidRPr="00D937C0" w:rsidRDefault="00FA1BDC" w:rsidP="00704D77">
            <w:pPr>
              <w:pStyle w:val="ListParagraph"/>
              <w:spacing w:after="0"/>
              <w:ind w:left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Employer, employee, or third party (virtually anyone)</w:t>
            </w:r>
            <w:r w:rsidR="00836C10" w:rsidRPr="00D937C0">
              <w:rPr>
                <w:rFonts w:ascii="Arial Narrow" w:hAnsi="Arial Narrow" w:cs="Calibri"/>
                <w:color w:val="333333"/>
              </w:rPr>
              <w:t>.</w:t>
            </w:r>
          </w:p>
        </w:tc>
        <w:tc>
          <w:tcPr>
            <w:tcW w:w="30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2E68BC" w14:textId="5608738A" w:rsidR="00FD1A1E" w:rsidRPr="00D937C0" w:rsidRDefault="00FA1BDC" w:rsidP="00704D77">
            <w:pPr>
              <w:spacing w:after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Employer only</w:t>
            </w:r>
            <w:r w:rsidR="00836C10" w:rsidRPr="00D937C0">
              <w:rPr>
                <w:rFonts w:ascii="Arial Narrow" w:hAnsi="Arial Narrow" w:cs="Calibri"/>
                <w:color w:val="333333"/>
              </w:rPr>
              <w:t>.</w:t>
            </w:r>
          </w:p>
          <w:p w14:paraId="349FA08E" w14:textId="1ACF1A3D" w:rsidR="00FD1A1E" w:rsidRPr="00D937C0" w:rsidRDefault="00FD1A1E" w:rsidP="00704D77">
            <w:pPr>
              <w:spacing w:after="0"/>
              <w:rPr>
                <w:rFonts w:ascii="Arial Narrow" w:hAnsi="Arial Narrow" w:cs="Calibri"/>
                <w:color w:val="333333"/>
              </w:rPr>
            </w:pPr>
          </w:p>
        </w:tc>
        <w:tc>
          <w:tcPr>
            <w:tcW w:w="3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DF3762" w14:textId="77777777" w:rsidR="00FA1BDC" w:rsidRPr="00D937C0" w:rsidRDefault="00FA1BDC" w:rsidP="00D95324">
            <w:pPr>
              <w:spacing w:after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Employee and employer</w:t>
            </w:r>
            <w:r w:rsidR="00836C10" w:rsidRPr="00D937C0">
              <w:rPr>
                <w:rFonts w:ascii="Arial Narrow" w:hAnsi="Arial Narrow" w:cs="Calibri"/>
                <w:color w:val="333333"/>
              </w:rPr>
              <w:t>.</w:t>
            </w:r>
          </w:p>
        </w:tc>
      </w:tr>
      <w:tr w:rsidR="00856634" w:rsidRPr="008F7B61" w14:paraId="34EBA49B" w14:textId="77777777" w:rsidTr="00856634">
        <w:trPr>
          <w:trHeight w:val="593"/>
        </w:trPr>
        <w:tc>
          <w:tcPr>
            <w:tcW w:w="162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E3F71B" w14:textId="77777777" w:rsidR="00856634" w:rsidRPr="00D937C0" w:rsidRDefault="00856634" w:rsidP="00F00BD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gramStart"/>
            <w:r w:rsidRPr="00D937C0">
              <w:rPr>
                <w:rFonts w:ascii="Arial Narrow" w:hAnsi="Arial Narrow" w:cs="Calibri"/>
                <w:b/>
                <w:sz w:val="24"/>
                <w:szCs w:val="24"/>
              </w:rPr>
              <w:t>What’s</w:t>
            </w:r>
            <w:proofErr w:type="gramEnd"/>
            <w:r w:rsidRPr="00D937C0">
              <w:rPr>
                <w:rFonts w:ascii="Arial Narrow" w:hAnsi="Arial Narrow" w:cs="Calibri"/>
                <w:b/>
                <w:sz w:val="24"/>
                <w:szCs w:val="24"/>
              </w:rPr>
              <w:t xml:space="preserve"> the maximum contribution?</w:t>
            </w:r>
          </w:p>
        </w:tc>
        <w:tc>
          <w:tcPr>
            <w:tcW w:w="1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8BAF8F" w14:textId="77777777" w:rsidR="00856634" w:rsidRPr="00D937C0" w:rsidRDefault="00856634" w:rsidP="00704D77">
            <w:pPr>
              <w:pStyle w:val="ListParagraph"/>
              <w:spacing w:after="0"/>
              <w:ind w:left="0"/>
              <w:rPr>
                <w:rFonts w:ascii="Arial Narrow" w:hAnsi="Arial Narrow" w:cs="Calibri"/>
                <w:color w:val="333333"/>
              </w:rPr>
            </w:pPr>
          </w:p>
        </w:tc>
        <w:tc>
          <w:tcPr>
            <w:tcW w:w="10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DAD83D" w14:textId="2ADB0E8F" w:rsidR="00856634" w:rsidRPr="00D937C0" w:rsidRDefault="00856634" w:rsidP="00576CBD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b/>
                <w:color w:val="333333"/>
              </w:rPr>
              <w:t>20</w:t>
            </w:r>
            <w:r w:rsidR="001943D4" w:rsidRPr="00D937C0">
              <w:rPr>
                <w:rFonts w:ascii="Arial Narrow" w:hAnsi="Arial Narrow" w:cs="Calibri"/>
                <w:b/>
                <w:color w:val="333333"/>
              </w:rPr>
              <w:t>20</w:t>
            </w:r>
          </w:p>
        </w:tc>
        <w:tc>
          <w:tcPr>
            <w:tcW w:w="10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A68D75" w14:textId="3962718F" w:rsidR="00856634" w:rsidRPr="00D937C0" w:rsidRDefault="00856634" w:rsidP="00576CBD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b/>
                <w:color w:val="333333"/>
              </w:rPr>
              <w:t>20</w:t>
            </w:r>
            <w:r w:rsidR="001943D4" w:rsidRPr="00D937C0">
              <w:rPr>
                <w:rFonts w:ascii="Arial Narrow" w:hAnsi="Arial Narrow" w:cs="Calibri"/>
                <w:b/>
                <w:color w:val="333333"/>
              </w:rPr>
              <w:t>21</w:t>
            </w:r>
          </w:p>
        </w:tc>
        <w:tc>
          <w:tcPr>
            <w:tcW w:w="3048" w:type="dxa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19D847" w14:textId="77777777" w:rsidR="00856634" w:rsidRPr="00D937C0" w:rsidRDefault="00856634" w:rsidP="0037164C">
            <w:pPr>
              <w:spacing w:after="0" w:line="240" w:lineRule="auto"/>
              <w:rPr>
                <w:rFonts w:ascii="Arial Narrow" w:hAnsi="Arial Narrow"/>
              </w:rPr>
            </w:pPr>
            <w:r w:rsidRPr="00D937C0">
              <w:rPr>
                <w:rFonts w:ascii="Arial Narrow" w:hAnsi="Arial Narrow" w:cs="Calibri"/>
                <w:color w:val="000000"/>
              </w:rPr>
              <w:t>Determined by employer; there are no caps for group coverage HRAs.</w:t>
            </w:r>
          </w:p>
          <w:p w14:paraId="6D8D6731" w14:textId="4D500698" w:rsidR="00856634" w:rsidRPr="00D937C0" w:rsidRDefault="00856634" w:rsidP="00704D77">
            <w:pPr>
              <w:spacing w:after="0" w:line="242" w:lineRule="auto"/>
              <w:rPr>
                <w:rFonts w:ascii="Arial Narrow" w:hAnsi="Arial Narrow" w:cs="Calibri"/>
                <w:color w:val="333333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CAAA7" w14:textId="5D0E0E99" w:rsidR="00856634" w:rsidRPr="00D937C0" w:rsidRDefault="00856634" w:rsidP="00704D77">
            <w:pPr>
              <w:spacing w:after="0" w:line="241" w:lineRule="auto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Determined by employer; capped at $2,7</w:t>
            </w:r>
            <w:r w:rsidR="00C31733" w:rsidRPr="00D937C0">
              <w:rPr>
                <w:rFonts w:ascii="Arial Narrow" w:hAnsi="Arial Narrow" w:cs="Calibri"/>
                <w:color w:val="333333"/>
              </w:rPr>
              <w:t>5</w:t>
            </w:r>
            <w:r w:rsidRPr="00D937C0">
              <w:rPr>
                <w:rFonts w:ascii="Arial Narrow" w:hAnsi="Arial Narrow" w:cs="Calibri"/>
                <w:color w:val="333333"/>
              </w:rPr>
              <w:t>0 per employee (20</w:t>
            </w:r>
            <w:r w:rsidR="00C31733" w:rsidRPr="00D937C0">
              <w:rPr>
                <w:rFonts w:ascii="Arial Narrow" w:hAnsi="Arial Narrow" w:cs="Calibri"/>
                <w:color w:val="333333"/>
              </w:rPr>
              <w:t>2</w:t>
            </w:r>
            <w:r w:rsidR="001943D4" w:rsidRPr="00D937C0">
              <w:rPr>
                <w:rFonts w:ascii="Arial Narrow" w:hAnsi="Arial Narrow" w:cs="Calibri"/>
                <w:color w:val="333333"/>
              </w:rPr>
              <w:t>1</w:t>
            </w:r>
            <w:r w:rsidRPr="00D937C0">
              <w:rPr>
                <w:rFonts w:ascii="Arial Narrow" w:hAnsi="Arial Narrow" w:cs="Calibri"/>
                <w:color w:val="333333"/>
              </w:rPr>
              <w:t>).</w:t>
            </w:r>
          </w:p>
        </w:tc>
      </w:tr>
      <w:tr w:rsidR="00856634" w:rsidRPr="008F7B61" w14:paraId="312189EB" w14:textId="77777777" w:rsidTr="00856634">
        <w:trPr>
          <w:trHeight w:val="504"/>
        </w:trPr>
        <w:tc>
          <w:tcPr>
            <w:tcW w:w="162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16A347" w14:textId="77777777" w:rsidR="00856634" w:rsidRPr="00D937C0" w:rsidRDefault="00856634" w:rsidP="00F00BD7">
            <w:pPr>
              <w:spacing w:after="0"/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82B3E2" w14:textId="77777777" w:rsidR="00856634" w:rsidRPr="00D937C0" w:rsidRDefault="00856634" w:rsidP="00704D77">
            <w:pPr>
              <w:pStyle w:val="ListParagraph"/>
              <w:spacing w:after="0"/>
              <w:ind w:left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b/>
                <w:color w:val="333333"/>
              </w:rPr>
              <w:t>Single</w:t>
            </w:r>
          </w:p>
        </w:tc>
        <w:tc>
          <w:tcPr>
            <w:tcW w:w="10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3BBDD1" w14:textId="18E06F8C" w:rsidR="00856634" w:rsidRPr="00D937C0" w:rsidRDefault="00856634" w:rsidP="00D95324">
            <w:pPr>
              <w:pStyle w:val="ListParagraph"/>
              <w:spacing w:after="0"/>
              <w:ind w:left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$3,5</w:t>
            </w:r>
            <w:r w:rsidR="001943D4" w:rsidRPr="00D937C0">
              <w:rPr>
                <w:rFonts w:ascii="Arial Narrow" w:hAnsi="Arial Narrow" w:cs="Calibri"/>
                <w:color w:val="333333"/>
              </w:rPr>
              <w:t>5</w:t>
            </w:r>
            <w:r w:rsidRPr="00D937C0">
              <w:rPr>
                <w:rFonts w:ascii="Arial Narrow" w:hAnsi="Arial Narrow" w:cs="Calibri"/>
                <w:color w:val="333333"/>
              </w:rPr>
              <w:t>0</w:t>
            </w:r>
          </w:p>
        </w:tc>
        <w:tc>
          <w:tcPr>
            <w:tcW w:w="10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EDD72A" w14:textId="3519EE8F" w:rsidR="00856634" w:rsidRPr="00D937C0" w:rsidRDefault="00856634" w:rsidP="00D95324">
            <w:pPr>
              <w:pStyle w:val="ListParagraph"/>
              <w:spacing w:after="0"/>
              <w:ind w:left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$3,</w:t>
            </w:r>
            <w:r w:rsidR="001943D4" w:rsidRPr="00D937C0">
              <w:rPr>
                <w:rFonts w:ascii="Arial Narrow" w:hAnsi="Arial Narrow" w:cs="Calibri"/>
                <w:color w:val="333333"/>
              </w:rPr>
              <w:t>60</w:t>
            </w:r>
            <w:r w:rsidRPr="00D937C0">
              <w:rPr>
                <w:rFonts w:ascii="Arial Narrow" w:hAnsi="Arial Narrow" w:cs="Calibri"/>
                <w:color w:val="333333"/>
              </w:rPr>
              <w:t>0</w:t>
            </w:r>
          </w:p>
        </w:tc>
        <w:tc>
          <w:tcPr>
            <w:tcW w:w="3048" w:type="dxa"/>
            <w:vMerge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6430BD" w14:textId="77777777" w:rsidR="00856634" w:rsidRPr="00D937C0" w:rsidRDefault="00856634" w:rsidP="00D95324">
            <w:pPr>
              <w:spacing w:after="0" w:line="242" w:lineRule="auto"/>
              <w:rPr>
                <w:rFonts w:ascii="Arial Narrow" w:hAnsi="Arial Narrow" w:cs="Calibri"/>
                <w:color w:val="333333"/>
              </w:rPr>
            </w:pPr>
          </w:p>
        </w:tc>
        <w:tc>
          <w:tcPr>
            <w:tcW w:w="3036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AE8B44" w14:textId="77777777" w:rsidR="00856634" w:rsidRPr="00D937C0" w:rsidRDefault="00856634" w:rsidP="00D95324">
            <w:pPr>
              <w:spacing w:after="0" w:line="241" w:lineRule="auto"/>
              <w:rPr>
                <w:rFonts w:ascii="Arial Narrow" w:hAnsi="Arial Narrow" w:cs="Calibri"/>
                <w:color w:val="333333"/>
              </w:rPr>
            </w:pPr>
          </w:p>
        </w:tc>
      </w:tr>
      <w:tr w:rsidR="00856634" w:rsidRPr="008F7B61" w14:paraId="24BF3DF2" w14:textId="77777777" w:rsidTr="00856634">
        <w:trPr>
          <w:trHeight w:val="485"/>
        </w:trPr>
        <w:tc>
          <w:tcPr>
            <w:tcW w:w="162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B4CA85" w14:textId="77777777" w:rsidR="00856634" w:rsidRPr="00D937C0" w:rsidRDefault="00856634" w:rsidP="00F00BD7">
            <w:pPr>
              <w:spacing w:after="0"/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CA3B77" w14:textId="77777777" w:rsidR="00856634" w:rsidRPr="00D937C0" w:rsidRDefault="00856634" w:rsidP="00704D77">
            <w:pPr>
              <w:pStyle w:val="ListParagraph"/>
              <w:spacing w:after="0"/>
              <w:ind w:left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b/>
                <w:color w:val="333333"/>
              </w:rPr>
              <w:t>Family</w:t>
            </w:r>
          </w:p>
        </w:tc>
        <w:tc>
          <w:tcPr>
            <w:tcW w:w="10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58147A" w14:textId="71E7E655" w:rsidR="00856634" w:rsidRPr="00D937C0" w:rsidRDefault="00856634" w:rsidP="00D95324">
            <w:pPr>
              <w:pStyle w:val="ListParagraph"/>
              <w:spacing w:after="0"/>
              <w:ind w:left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$</w:t>
            </w:r>
            <w:r w:rsidR="00D53E3D" w:rsidRPr="00D937C0">
              <w:rPr>
                <w:rFonts w:ascii="Arial Narrow" w:hAnsi="Arial Narrow" w:cs="Calibri"/>
                <w:color w:val="333333"/>
              </w:rPr>
              <w:t>7,</w:t>
            </w:r>
            <w:r w:rsidR="001943D4" w:rsidRPr="00D937C0">
              <w:rPr>
                <w:rFonts w:ascii="Arial Narrow" w:hAnsi="Arial Narrow" w:cs="Calibri"/>
                <w:color w:val="333333"/>
              </w:rPr>
              <w:t>1</w:t>
            </w:r>
            <w:r w:rsidR="00D53E3D" w:rsidRPr="00D937C0">
              <w:rPr>
                <w:rFonts w:ascii="Arial Narrow" w:hAnsi="Arial Narrow" w:cs="Calibri"/>
                <w:color w:val="333333"/>
              </w:rPr>
              <w:t>00</w:t>
            </w:r>
          </w:p>
        </w:tc>
        <w:tc>
          <w:tcPr>
            <w:tcW w:w="10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167AC3" w14:textId="021D049B" w:rsidR="00856634" w:rsidRPr="00D937C0" w:rsidRDefault="00856634" w:rsidP="00D95324">
            <w:pPr>
              <w:pStyle w:val="ListParagraph"/>
              <w:spacing w:after="0"/>
              <w:ind w:left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$7,</w:t>
            </w:r>
            <w:r w:rsidR="001943D4" w:rsidRPr="00D937C0">
              <w:rPr>
                <w:rFonts w:ascii="Arial Narrow" w:hAnsi="Arial Narrow" w:cs="Calibri"/>
                <w:color w:val="333333"/>
              </w:rPr>
              <w:t>2</w:t>
            </w:r>
            <w:r w:rsidRPr="00D937C0">
              <w:rPr>
                <w:rFonts w:ascii="Arial Narrow" w:hAnsi="Arial Narrow" w:cs="Calibri"/>
                <w:color w:val="333333"/>
              </w:rPr>
              <w:t>00</w:t>
            </w:r>
          </w:p>
        </w:tc>
        <w:tc>
          <w:tcPr>
            <w:tcW w:w="3048" w:type="dxa"/>
            <w:vMerge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708128" w14:textId="77777777" w:rsidR="00856634" w:rsidRPr="00D937C0" w:rsidRDefault="00856634" w:rsidP="00D95324">
            <w:pPr>
              <w:spacing w:after="0" w:line="242" w:lineRule="auto"/>
              <w:rPr>
                <w:rFonts w:ascii="Arial Narrow" w:hAnsi="Arial Narrow" w:cs="Calibri"/>
                <w:color w:val="333333"/>
              </w:rPr>
            </w:pPr>
          </w:p>
        </w:tc>
        <w:tc>
          <w:tcPr>
            <w:tcW w:w="3036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1787BD" w14:textId="77777777" w:rsidR="00856634" w:rsidRPr="00D937C0" w:rsidRDefault="00856634" w:rsidP="00D95324">
            <w:pPr>
              <w:spacing w:after="0" w:line="241" w:lineRule="auto"/>
              <w:rPr>
                <w:rFonts w:ascii="Arial Narrow" w:hAnsi="Arial Narrow" w:cs="Calibri"/>
                <w:color w:val="333333"/>
              </w:rPr>
            </w:pPr>
          </w:p>
        </w:tc>
      </w:tr>
      <w:tr w:rsidR="00856634" w:rsidRPr="008F7B61" w14:paraId="71467619" w14:textId="77777777" w:rsidTr="00D30232">
        <w:trPr>
          <w:trHeight w:val="665"/>
        </w:trPr>
        <w:tc>
          <w:tcPr>
            <w:tcW w:w="162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E2CC91" w14:textId="77777777" w:rsidR="00856634" w:rsidRPr="00D937C0" w:rsidRDefault="00856634" w:rsidP="00F00BD7">
            <w:pPr>
              <w:spacing w:after="0"/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CE922C" w14:textId="20C3176C" w:rsidR="00856634" w:rsidRPr="00D937C0" w:rsidRDefault="00856634" w:rsidP="00704D77">
            <w:pPr>
              <w:pStyle w:val="ListParagraph"/>
              <w:spacing w:after="0"/>
              <w:ind w:left="0"/>
              <w:rPr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Fonts w:ascii="Arial Narrow" w:hAnsi="Arial Narrow" w:cs="Calibri"/>
                <w:b/>
                <w:color w:val="333333"/>
              </w:rPr>
              <w:t>Catch up provision for</w:t>
            </w:r>
            <w:r w:rsidR="00D937C0">
              <w:rPr>
                <w:rFonts w:ascii="Arial Narrow" w:hAnsi="Arial Narrow" w:cs="Calibri"/>
                <w:b/>
                <w:color w:val="333333"/>
              </w:rPr>
              <w:t xml:space="preserve"> ages</w:t>
            </w:r>
            <w:r w:rsidRPr="00D937C0">
              <w:rPr>
                <w:rFonts w:ascii="Arial Narrow" w:hAnsi="Arial Narrow" w:cs="Calibri"/>
                <w:b/>
                <w:color w:val="333333"/>
              </w:rPr>
              <w:t xml:space="preserve"> 55+*</w:t>
            </w:r>
          </w:p>
        </w:tc>
        <w:tc>
          <w:tcPr>
            <w:tcW w:w="10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CA5E00" w14:textId="619064F0" w:rsidR="00856634" w:rsidRPr="00D937C0" w:rsidRDefault="00856634" w:rsidP="00D95324">
            <w:pPr>
              <w:pStyle w:val="ListParagraph"/>
              <w:spacing w:after="0"/>
              <w:ind w:left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$1,000</w:t>
            </w:r>
          </w:p>
        </w:tc>
        <w:tc>
          <w:tcPr>
            <w:tcW w:w="10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C8512CC" w14:textId="7A223D97" w:rsidR="00856634" w:rsidRPr="00D937C0" w:rsidRDefault="00856634" w:rsidP="00D95324">
            <w:pPr>
              <w:pStyle w:val="ListParagraph"/>
              <w:spacing w:after="0"/>
              <w:ind w:left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$1,000</w:t>
            </w:r>
          </w:p>
        </w:tc>
        <w:tc>
          <w:tcPr>
            <w:tcW w:w="3048" w:type="dxa"/>
            <w:vMerge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2EEC0F" w14:textId="77777777" w:rsidR="00856634" w:rsidRPr="00D937C0" w:rsidRDefault="00856634" w:rsidP="00D95324">
            <w:pPr>
              <w:spacing w:after="0" w:line="242" w:lineRule="auto"/>
              <w:rPr>
                <w:rFonts w:ascii="Arial Narrow" w:hAnsi="Arial Narrow" w:cs="Calibri"/>
                <w:color w:val="333333"/>
              </w:rPr>
            </w:pPr>
          </w:p>
        </w:tc>
        <w:tc>
          <w:tcPr>
            <w:tcW w:w="3036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22CE06" w14:textId="77777777" w:rsidR="00856634" w:rsidRPr="00D937C0" w:rsidRDefault="00856634" w:rsidP="00D95324">
            <w:pPr>
              <w:spacing w:after="0" w:line="241" w:lineRule="auto"/>
              <w:rPr>
                <w:rFonts w:ascii="Arial Narrow" w:hAnsi="Arial Narrow" w:cs="Calibri"/>
                <w:color w:val="333333"/>
              </w:rPr>
            </w:pPr>
          </w:p>
        </w:tc>
      </w:tr>
      <w:tr w:rsidR="00D20F8E" w:rsidRPr="008F7B61" w14:paraId="56332A22" w14:textId="77777777" w:rsidTr="0098016B">
        <w:trPr>
          <w:trHeight w:val="1880"/>
        </w:trPr>
        <w:tc>
          <w:tcPr>
            <w:tcW w:w="1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B8300C" w14:textId="77777777" w:rsidR="00945E32" w:rsidRPr="00D937C0" w:rsidRDefault="00945E32" w:rsidP="00F92B2D">
            <w:pPr>
              <w:spacing w:after="0"/>
              <w:ind w:left="1"/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</w:pPr>
            <w:r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lastRenderedPageBreak/>
              <w:t>Is it tax-advantaged?</w:t>
            </w:r>
          </w:p>
        </w:tc>
        <w:tc>
          <w:tcPr>
            <w:tcW w:w="308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832F8" w14:textId="77777777" w:rsidR="00945E32" w:rsidRPr="00D937C0" w:rsidRDefault="00945E32" w:rsidP="00704D77">
            <w:pPr>
              <w:spacing w:after="0"/>
              <w:rPr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Fonts w:ascii="Arial Narrow" w:hAnsi="Arial Narrow" w:cs="Calibri"/>
                <w:b/>
                <w:color w:val="333333"/>
              </w:rPr>
              <w:t>Yes</w:t>
            </w:r>
          </w:p>
          <w:p w14:paraId="4B68428A" w14:textId="77777777" w:rsidR="00945E32" w:rsidRPr="00D937C0" w:rsidRDefault="003C330A" w:rsidP="004F2CB6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Tax-free</w:t>
            </w:r>
            <w:r w:rsidR="00945E32" w:rsidRPr="00D937C0">
              <w:rPr>
                <w:rFonts w:ascii="Arial Narrow" w:hAnsi="Arial Narrow" w:cs="Calibri"/>
                <w:color w:val="333333"/>
              </w:rPr>
              <w:t xml:space="preserve"> contributions</w:t>
            </w:r>
          </w:p>
          <w:p w14:paraId="79CD77EE" w14:textId="77777777" w:rsidR="00945E32" w:rsidRPr="00D937C0" w:rsidRDefault="00945E32" w:rsidP="004F2CB6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Tax-free interest</w:t>
            </w:r>
          </w:p>
          <w:p w14:paraId="5A7ED075" w14:textId="77777777" w:rsidR="00945E32" w:rsidRPr="00D937C0" w:rsidRDefault="00945E32" w:rsidP="004F2CB6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Tax-free withdrawals for eligible expenses</w:t>
            </w:r>
          </w:p>
        </w:tc>
        <w:tc>
          <w:tcPr>
            <w:tcW w:w="30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100107" w14:textId="77777777" w:rsidR="00945E32" w:rsidRPr="00D937C0" w:rsidRDefault="00945E32" w:rsidP="00D95324">
            <w:pPr>
              <w:spacing w:after="0"/>
              <w:rPr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Fonts w:ascii="Arial Narrow" w:hAnsi="Arial Narrow" w:cs="Calibri"/>
                <w:b/>
                <w:color w:val="333333"/>
              </w:rPr>
              <w:t>Yes</w:t>
            </w:r>
          </w:p>
          <w:p w14:paraId="5704524B" w14:textId="77777777" w:rsidR="00945E32" w:rsidRPr="00D937C0" w:rsidRDefault="00945E32" w:rsidP="00F5270D">
            <w:pPr>
              <w:pStyle w:val="ListParagraph"/>
              <w:numPr>
                <w:ilvl w:val="0"/>
                <w:numId w:val="44"/>
              </w:numPr>
              <w:spacing w:before="120" w:after="0" w:line="240" w:lineRule="auto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Tax-free withdrawals for eligible expenses</w:t>
            </w:r>
          </w:p>
        </w:tc>
        <w:tc>
          <w:tcPr>
            <w:tcW w:w="3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5DE89" w14:textId="77777777" w:rsidR="00945E32" w:rsidRPr="00D937C0" w:rsidRDefault="00945E32" w:rsidP="00D95324">
            <w:pPr>
              <w:spacing w:after="0"/>
              <w:rPr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Fonts w:ascii="Arial Narrow" w:hAnsi="Arial Narrow" w:cs="Calibri"/>
                <w:b/>
                <w:color w:val="333333"/>
              </w:rPr>
              <w:t>Yes</w:t>
            </w:r>
          </w:p>
          <w:p w14:paraId="36C71F10" w14:textId="77777777" w:rsidR="00945E32" w:rsidRPr="00D937C0" w:rsidRDefault="00945E32" w:rsidP="00F5270D">
            <w:pPr>
              <w:pStyle w:val="ListParagraph"/>
              <w:numPr>
                <w:ilvl w:val="0"/>
                <w:numId w:val="46"/>
              </w:numPr>
              <w:spacing w:before="120" w:after="0" w:line="240" w:lineRule="auto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Pretax contributions</w:t>
            </w:r>
          </w:p>
          <w:p w14:paraId="0FFF74DE" w14:textId="77777777" w:rsidR="00945E32" w:rsidRPr="00D937C0" w:rsidRDefault="00945E32" w:rsidP="00F5270D">
            <w:pPr>
              <w:pStyle w:val="ListParagraph"/>
              <w:numPr>
                <w:ilvl w:val="0"/>
                <w:numId w:val="46"/>
              </w:numPr>
              <w:spacing w:before="120" w:after="0" w:line="240" w:lineRule="auto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Tax-free withdrawals for eligible expenses</w:t>
            </w:r>
          </w:p>
        </w:tc>
      </w:tr>
      <w:tr w:rsidR="00D20F8E" w:rsidRPr="008F7B61" w14:paraId="7F1AB7FB" w14:textId="77777777" w:rsidTr="0098016B">
        <w:trPr>
          <w:trHeight w:val="6920"/>
        </w:trPr>
        <w:tc>
          <w:tcPr>
            <w:tcW w:w="1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E4511E" w14:textId="77777777" w:rsidR="00A82660" w:rsidRPr="00D937C0" w:rsidRDefault="00A82660" w:rsidP="00B636B9">
            <w:pPr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</w:pPr>
            <w:r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 xml:space="preserve">What </w:t>
            </w:r>
            <w:r w:rsidR="00B636B9"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>expenses are covered?</w:t>
            </w:r>
          </w:p>
        </w:tc>
        <w:tc>
          <w:tcPr>
            <w:tcW w:w="308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89B8D" w14:textId="77777777" w:rsidR="00A82660" w:rsidRPr="00D937C0" w:rsidRDefault="00B636B9" w:rsidP="00704D77">
            <w:pPr>
              <w:pStyle w:val="Pa18"/>
              <w:spacing w:line="260" w:lineRule="exact"/>
              <w:rPr>
                <w:rStyle w:val="A1"/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Style w:val="A1"/>
                <w:rFonts w:ascii="Arial Narrow" w:hAnsi="Arial Narrow" w:cs="Calibri"/>
                <w:b/>
                <w:color w:val="333333"/>
              </w:rPr>
              <w:t>Eligible:</w:t>
            </w:r>
            <w:r w:rsidR="00A82660" w:rsidRPr="00D937C0">
              <w:rPr>
                <w:rStyle w:val="A1"/>
                <w:rFonts w:ascii="Arial Narrow" w:hAnsi="Arial Narrow" w:cs="Calibri"/>
                <w:b/>
                <w:color w:val="333333"/>
              </w:rPr>
              <w:t xml:space="preserve"> </w:t>
            </w:r>
          </w:p>
          <w:p w14:paraId="0A445E25" w14:textId="77777777" w:rsidR="00A82660" w:rsidRPr="00D937C0" w:rsidRDefault="00A82660" w:rsidP="004F2CB6">
            <w:pPr>
              <w:pStyle w:val="ListParagraph"/>
              <w:numPr>
                <w:ilvl w:val="0"/>
                <w:numId w:val="41"/>
              </w:numPr>
              <w:spacing w:before="120"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Out-of-pocket expenses unti</w:t>
            </w:r>
            <w:r w:rsidR="008A7BA0" w:rsidRPr="00D937C0">
              <w:rPr>
                <w:rFonts w:ascii="Arial Narrow" w:hAnsi="Arial Narrow" w:cs="Calibri"/>
                <w:color w:val="333333"/>
              </w:rPr>
              <w:t xml:space="preserve">l </w:t>
            </w:r>
            <w:r w:rsidRPr="00D937C0">
              <w:rPr>
                <w:rFonts w:ascii="Arial Narrow" w:hAnsi="Arial Narrow" w:cs="Calibri"/>
                <w:color w:val="333333"/>
              </w:rPr>
              <w:t>deductible</w:t>
            </w:r>
            <w:r w:rsidR="008A7BA0" w:rsidRPr="00D937C0">
              <w:rPr>
                <w:rFonts w:ascii="Arial Narrow" w:hAnsi="Arial Narrow" w:cs="Calibri"/>
                <w:color w:val="333333"/>
              </w:rPr>
              <w:t xml:space="preserve"> is reached</w:t>
            </w:r>
          </w:p>
          <w:p w14:paraId="7BDC76D2" w14:textId="77777777" w:rsidR="00A82660" w:rsidRPr="00D937C0" w:rsidRDefault="00A82660" w:rsidP="004F2CB6">
            <w:pPr>
              <w:pStyle w:val="ListParagraph"/>
              <w:numPr>
                <w:ilvl w:val="0"/>
                <w:numId w:val="41"/>
              </w:num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Copayments, </w:t>
            </w:r>
            <w:proofErr w:type="gramStart"/>
            <w:r w:rsidRPr="00D937C0">
              <w:rPr>
                <w:rFonts w:ascii="Arial Narrow" w:hAnsi="Arial Narrow" w:cs="Calibri"/>
                <w:color w:val="333333"/>
              </w:rPr>
              <w:t>coinsurance</w:t>
            </w:r>
            <w:proofErr w:type="gramEnd"/>
            <w:r w:rsidRPr="00D937C0">
              <w:rPr>
                <w:rFonts w:ascii="Arial Narrow" w:hAnsi="Arial Narrow" w:cs="Calibri"/>
                <w:color w:val="333333"/>
              </w:rPr>
              <w:t xml:space="preserve"> and prescription drugs </w:t>
            </w:r>
          </w:p>
          <w:p w14:paraId="53C75E22" w14:textId="77777777" w:rsidR="00B636B9" w:rsidRPr="00D937C0" w:rsidRDefault="00B636B9" w:rsidP="004F2CB6">
            <w:pPr>
              <w:pStyle w:val="ListParagraph"/>
              <w:numPr>
                <w:ilvl w:val="0"/>
                <w:numId w:val="41"/>
              </w:num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Medicare and COBRA premiums</w:t>
            </w:r>
          </w:p>
          <w:p w14:paraId="22732455" w14:textId="77777777" w:rsidR="00B636B9" w:rsidRPr="00D937C0" w:rsidRDefault="00B636B9" w:rsidP="004F2CB6">
            <w:pPr>
              <w:pStyle w:val="ListParagraph"/>
              <w:numPr>
                <w:ilvl w:val="0"/>
                <w:numId w:val="41"/>
              </w:num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Long</w:t>
            </w:r>
            <w:r w:rsidR="0054485C" w:rsidRPr="00D937C0">
              <w:rPr>
                <w:rFonts w:ascii="Arial Narrow" w:hAnsi="Arial Narrow" w:cs="Calibri"/>
                <w:color w:val="333333"/>
              </w:rPr>
              <w:t>-</w:t>
            </w:r>
            <w:r w:rsidRPr="00D937C0">
              <w:rPr>
                <w:rFonts w:ascii="Arial Narrow" w:hAnsi="Arial Narrow" w:cs="Calibri"/>
                <w:color w:val="333333"/>
              </w:rPr>
              <w:t>term care premiums</w:t>
            </w:r>
          </w:p>
          <w:p w14:paraId="36458C86" w14:textId="77777777" w:rsidR="00B636B9" w:rsidRPr="00D937C0" w:rsidRDefault="00B636B9" w:rsidP="004F2CB6">
            <w:pPr>
              <w:pStyle w:val="ListParagraph"/>
              <w:numPr>
                <w:ilvl w:val="0"/>
                <w:numId w:val="41"/>
              </w:num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Dental and vison care expenses not covered by </w:t>
            </w:r>
            <w:r w:rsidR="00BB4DED" w:rsidRPr="00D937C0">
              <w:rPr>
                <w:rFonts w:ascii="Arial Narrow" w:hAnsi="Arial Narrow" w:cs="Calibri"/>
                <w:color w:val="333333"/>
              </w:rPr>
              <w:t xml:space="preserve">the </w:t>
            </w:r>
            <w:r w:rsidRPr="00D937C0">
              <w:rPr>
                <w:rFonts w:ascii="Arial Narrow" w:hAnsi="Arial Narrow" w:cs="Calibri"/>
                <w:color w:val="333333"/>
              </w:rPr>
              <w:t>health plan</w:t>
            </w:r>
          </w:p>
          <w:p w14:paraId="252CBAA3" w14:textId="77777777" w:rsidR="00B636B9" w:rsidRPr="00D937C0" w:rsidRDefault="00B636B9" w:rsidP="00D95324">
            <w:pPr>
              <w:rPr>
                <w:rStyle w:val="A1"/>
                <w:rFonts w:ascii="Arial Narrow" w:hAnsi="Arial Narrow" w:cs="Calibri"/>
                <w:color w:val="333333"/>
              </w:rPr>
            </w:pPr>
          </w:p>
          <w:p w14:paraId="4000BD68" w14:textId="77777777" w:rsidR="00B636B9" w:rsidRPr="00D937C0" w:rsidRDefault="00B636B9" w:rsidP="00D95324">
            <w:pPr>
              <w:rPr>
                <w:rStyle w:val="A1"/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Style w:val="A1"/>
                <w:rFonts w:ascii="Arial Narrow" w:hAnsi="Arial Narrow" w:cs="Calibri"/>
                <w:b/>
                <w:color w:val="333333"/>
              </w:rPr>
              <w:t>Ineligible:</w:t>
            </w:r>
          </w:p>
          <w:p w14:paraId="776F0F7A" w14:textId="77777777" w:rsidR="00B636B9" w:rsidRPr="00D937C0" w:rsidRDefault="00B636B9" w:rsidP="004F2CB6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Health insurance monthly premiums</w:t>
            </w:r>
          </w:p>
          <w:p w14:paraId="7AB1AD35" w14:textId="77777777" w:rsidR="00B636B9" w:rsidRPr="00D937C0" w:rsidRDefault="00B636B9" w:rsidP="004F2CB6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Expenses that </w:t>
            </w:r>
            <w:proofErr w:type="gramStart"/>
            <w:r w:rsidRPr="00D937C0">
              <w:rPr>
                <w:rFonts w:ascii="Arial Narrow" w:hAnsi="Arial Narrow" w:cs="Calibri"/>
                <w:color w:val="333333"/>
              </w:rPr>
              <w:t>aren’t</w:t>
            </w:r>
            <w:proofErr w:type="gramEnd"/>
            <w:r w:rsidRPr="00D937C0">
              <w:rPr>
                <w:rFonts w:ascii="Arial Narrow" w:hAnsi="Arial Narrow" w:cs="Calibri"/>
                <w:color w:val="333333"/>
              </w:rPr>
              <w:t xml:space="preserve"> related to medical treatment or care as defined by the IRS</w:t>
            </w:r>
            <w:r w:rsidR="0012509D" w:rsidRPr="00D937C0">
              <w:rPr>
                <w:rFonts w:ascii="Arial Narrow" w:hAnsi="Arial Narrow" w:cs="Calibri"/>
                <w:color w:val="333333"/>
              </w:rPr>
              <w:t>.</w:t>
            </w:r>
          </w:p>
          <w:p w14:paraId="0D4ECE0E" w14:textId="77777777" w:rsidR="007313A5" w:rsidRPr="00D937C0" w:rsidRDefault="007313A5" w:rsidP="00D95324">
            <w:pPr>
              <w:rPr>
                <w:rStyle w:val="A1"/>
                <w:rFonts w:ascii="Arial Narrow" w:hAnsi="Arial Narrow" w:cs="Calibri"/>
                <w:b/>
                <w:color w:val="333333"/>
              </w:rPr>
            </w:pPr>
          </w:p>
          <w:p w14:paraId="77AB9E5B" w14:textId="0D56D9E8" w:rsidR="0040634C" w:rsidRPr="00D937C0" w:rsidRDefault="00B636B9" w:rsidP="00D95324">
            <w:pPr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Style w:val="A1"/>
                <w:rFonts w:ascii="Arial Narrow" w:hAnsi="Arial Narrow" w:cs="Calibri"/>
                <w:b/>
                <w:color w:val="333333"/>
              </w:rPr>
              <w:t xml:space="preserve">Remember: </w:t>
            </w:r>
            <w:r w:rsidRPr="00D937C0">
              <w:rPr>
                <w:rStyle w:val="A1"/>
                <w:rFonts w:ascii="Arial Narrow" w:hAnsi="Arial Narrow" w:cs="Calibri"/>
                <w:color w:val="333333"/>
              </w:rPr>
              <w:t>HSA funds can only be used on the account holder and their tax dependents.</w:t>
            </w:r>
          </w:p>
        </w:tc>
        <w:tc>
          <w:tcPr>
            <w:tcW w:w="30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E70B83" w14:textId="77777777" w:rsidR="00B636B9" w:rsidRPr="00D937C0" w:rsidRDefault="00B636B9" w:rsidP="00D95324">
            <w:pPr>
              <w:pStyle w:val="Pa6"/>
              <w:spacing w:line="260" w:lineRule="exact"/>
              <w:rPr>
                <w:rStyle w:val="A6"/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D937C0">
              <w:rPr>
                <w:rStyle w:val="A6"/>
                <w:rFonts w:ascii="Arial Narrow" w:hAnsi="Arial Narrow" w:cs="Calibri"/>
                <w:b/>
                <w:color w:val="333333"/>
                <w:sz w:val="22"/>
                <w:szCs w:val="22"/>
              </w:rPr>
              <w:t>Eligible:</w:t>
            </w:r>
          </w:p>
          <w:p w14:paraId="73B15D34" w14:textId="77777777" w:rsidR="0012509D" w:rsidRPr="00D937C0" w:rsidRDefault="0012509D" w:rsidP="00D95324">
            <w:pPr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The HRA typically covers the same</w:t>
            </w:r>
            <w:r w:rsidR="008A7BA0" w:rsidRPr="00D937C0">
              <w:rPr>
                <w:rFonts w:ascii="Arial Narrow" w:hAnsi="Arial Narrow" w:cs="Calibri"/>
                <w:color w:val="333333"/>
              </w:rPr>
              <w:t xml:space="preserve"> expenses that the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health plan covers. Covered expenses may include:</w:t>
            </w:r>
          </w:p>
          <w:p w14:paraId="76519211" w14:textId="77777777" w:rsidR="00A82660" w:rsidRPr="00D937C0" w:rsidRDefault="00A82660" w:rsidP="00F5270D">
            <w:pPr>
              <w:pStyle w:val="ListParagraph"/>
              <w:numPr>
                <w:ilvl w:val="0"/>
                <w:numId w:val="43"/>
              </w:numPr>
              <w:spacing w:before="120"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In-network doctor visits</w:t>
            </w:r>
          </w:p>
          <w:p w14:paraId="325D91E2" w14:textId="77777777" w:rsidR="00A82660" w:rsidRPr="00D937C0" w:rsidRDefault="00A82660" w:rsidP="00F5270D">
            <w:pPr>
              <w:pStyle w:val="ListParagraph"/>
              <w:numPr>
                <w:ilvl w:val="0"/>
                <w:numId w:val="43"/>
              </w:numPr>
              <w:spacing w:before="120"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Inpatient or outpatient </w:t>
            </w:r>
            <w:r w:rsidR="002A07FF" w:rsidRPr="00D937C0">
              <w:rPr>
                <w:rFonts w:ascii="Arial Narrow" w:hAnsi="Arial Narrow" w:cs="Calibri"/>
                <w:color w:val="333333"/>
              </w:rPr>
              <w:t xml:space="preserve">    </w:t>
            </w:r>
            <w:r w:rsidRPr="00D937C0">
              <w:rPr>
                <w:rFonts w:ascii="Arial Narrow" w:hAnsi="Arial Narrow" w:cs="Calibri"/>
                <w:color w:val="333333"/>
              </w:rPr>
              <w:t>hospital care</w:t>
            </w:r>
          </w:p>
          <w:p w14:paraId="4AB260BF" w14:textId="77777777" w:rsidR="00A82660" w:rsidRPr="00D937C0" w:rsidRDefault="00A82660" w:rsidP="00F5270D">
            <w:pPr>
              <w:pStyle w:val="ListParagraph"/>
              <w:numPr>
                <w:ilvl w:val="0"/>
                <w:numId w:val="43"/>
              </w:numPr>
              <w:spacing w:before="120"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Diagnostic exams</w:t>
            </w:r>
          </w:p>
          <w:p w14:paraId="38364A77" w14:textId="77777777" w:rsidR="00A82660" w:rsidRPr="00D937C0" w:rsidRDefault="00A82660" w:rsidP="00F5270D">
            <w:pPr>
              <w:pStyle w:val="ListParagraph"/>
              <w:numPr>
                <w:ilvl w:val="0"/>
                <w:numId w:val="43"/>
              </w:numPr>
              <w:spacing w:before="120"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Prescription medications</w:t>
            </w:r>
          </w:p>
          <w:p w14:paraId="15D39139" w14:textId="77777777" w:rsidR="00B636B9" w:rsidRPr="00D937C0" w:rsidRDefault="00B636B9" w:rsidP="00D95324">
            <w:pPr>
              <w:spacing w:before="120" w:after="0" w:line="260" w:lineRule="exact"/>
              <w:rPr>
                <w:rFonts w:ascii="Arial Narrow" w:hAnsi="Arial Narrow" w:cs="Calibri"/>
                <w:b/>
                <w:color w:val="333333"/>
              </w:rPr>
            </w:pPr>
          </w:p>
          <w:p w14:paraId="7076F0F3" w14:textId="77777777" w:rsidR="00B636B9" w:rsidRPr="00D937C0" w:rsidRDefault="00B636B9" w:rsidP="00D95324">
            <w:pPr>
              <w:spacing w:before="120" w:after="0" w:line="260" w:lineRule="exact"/>
              <w:rPr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Fonts w:ascii="Arial Narrow" w:hAnsi="Arial Narrow" w:cs="Calibri"/>
                <w:b/>
                <w:color w:val="333333"/>
              </w:rPr>
              <w:t xml:space="preserve">Ineligible: </w:t>
            </w:r>
          </w:p>
          <w:p w14:paraId="1E0691CA" w14:textId="77777777" w:rsidR="007313A5" w:rsidRPr="00D937C0" w:rsidRDefault="0012509D" w:rsidP="00D95324">
            <w:pPr>
              <w:spacing w:before="120"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Expenses that </w:t>
            </w:r>
            <w:proofErr w:type="gramStart"/>
            <w:r w:rsidRPr="00D937C0">
              <w:rPr>
                <w:rFonts w:ascii="Arial Narrow" w:hAnsi="Arial Narrow" w:cs="Calibri"/>
                <w:color w:val="333333"/>
              </w:rPr>
              <w:t>aren’t</w:t>
            </w:r>
            <w:proofErr w:type="gramEnd"/>
            <w:r w:rsidRPr="00D937C0">
              <w:rPr>
                <w:rFonts w:ascii="Arial Narrow" w:hAnsi="Arial Narrow" w:cs="Calibri"/>
                <w:color w:val="333333"/>
              </w:rPr>
              <w:t xml:space="preserve"> related to medical treatment or care as defined by the IRS.</w:t>
            </w:r>
          </w:p>
          <w:p w14:paraId="7D13C16E" w14:textId="77777777" w:rsidR="007313A5" w:rsidRPr="00D937C0" w:rsidRDefault="007313A5" w:rsidP="00D95324">
            <w:pPr>
              <w:spacing w:before="120" w:after="0" w:line="260" w:lineRule="exact"/>
              <w:rPr>
                <w:rFonts w:ascii="Arial Narrow" w:hAnsi="Arial Narrow" w:cs="Calibri"/>
                <w:color w:val="333333"/>
              </w:rPr>
            </w:pPr>
          </w:p>
          <w:p w14:paraId="79F08B00" w14:textId="77777777" w:rsidR="003D52B4" w:rsidRPr="00D937C0" w:rsidRDefault="003D52B4" w:rsidP="00D95324">
            <w:pPr>
              <w:spacing w:before="120" w:after="0" w:line="260" w:lineRule="exact"/>
              <w:rPr>
                <w:rFonts w:ascii="Arial Narrow" w:hAnsi="Arial Narrow" w:cs="Calibri"/>
                <w:b/>
                <w:color w:val="333333"/>
              </w:rPr>
            </w:pPr>
          </w:p>
          <w:p w14:paraId="1C116A86" w14:textId="6C8F256E" w:rsidR="007313A5" w:rsidRPr="00D937C0" w:rsidRDefault="007313A5" w:rsidP="00D95324">
            <w:pPr>
              <w:spacing w:before="120"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b/>
                <w:color w:val="333333"/>
              </w:rPr>
              <w:t xml:space="preserve">Remember: </w:t>
            </w:r>
            <w:r w:rsidR="008F7B61" w:rsidRPr="00D937C0">
              <w:rPr>
                <w:rFonts w:ascii="Arial Narrow" w:hAnsi="Arial Narrow" w:cs="Calibri"/>
                <w:color w:val="333333"/>
              </w:rPr>
              <w:t>HRA funds can only be used for qualified expenses under the health plan.</w:t>
            </w:r>
          </w:p>
          <w:p w14:paraId="63306354" w14:textId="77777777" w:rsidR="0012509D" w:rsidRPr="00D937C0" w:rsidRDefault="0012509D" w:rsidP="00D95324">
            <w:pPr>
              <w:spacing w:before="120" w:after="0" w:line="260" w:lineRule="exact"/>
              <w:rPr>
                <w:rFonts w:ascii="Arial Narrow" w:hAnsi="Arial Narrow" w:cs="Calibri"/>
                <w:b/>
                <w:color w:val="333333"/>
              </w:rPr>
            </w:pPr>
          </w:p>
        </w:tc>
        <w:tc>
          <w:tcPr>
            <w:tcW w:w="3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F86C0" w14:textId="77777777" w:rsidR="00A378F3" w:rsidRPr="00D937C0" w:rsidRDefault="00A378F3" w:rsidP="00D95324">
            <w:pPr>
              <w:pStyle w:val="Pa18"/>
              <w:spacing w:line="260" w:lineRule="exact"/>
              <w:rPr>
                <w:rStyle w:val="A1"/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Style w:val="A1"/>
                <w:rFonts w:ascii="Arial Narrow" w:hAnsi="Arial Narrow" w:cs="Calibri"/>
                <w:b/>
                <w:color w:val="333333"/>
              </w:rPr>
              <w:t xml:space="preserve">Eligible: </w:t>
            </w:r>
          </w:p>
          <w:p w14:paraId="35C1498B" w14:textId="77777777" w:rsidR="00A378F3" w:rsidRPr="00D937C0" w:rsidRDefault="00A378F3" w:rsidP="00F5270D">
            <w:pPr>
              <w:pStyle w:val="ListParagraph"/>
              <w:numPr>
                <w:ilvl w:val="0"/>
                <w:numId w:val="45"/>
              </w:numPr>
              <w:spacing w:before="120"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Out-of-poc</w:t>
            </w:r>
            <w:r w:rsidR="008A7BA0" w:rsidRPr="00D937C0">
              <w:rPr>
                <w:rFonts w:ascii="Arial Narrow" w:hAnsi="Arial Narrow" w:cs="Calibri"/>
                <w:color w:val="333333"/>
              </w:rPr>
              <w:t xml:space="preserve">ket expenses until </w:t>
            </w:r>
            <w:r w:rsidRPr="00D937C0">
              <w:rPr>
                <w:rFonts w:ascii="Arial Narrow" w:hAnsi="Arial Narrow" w:cs="Calibri"/>
                <w:color w:val="333333"/>
              </w:rPr>
              <w:t>deductible</w:t>
            </w:r>
            <w:r w:rsidR="008A7BA0" w:rsidRPr="00D937C0">
              <w:rPr>
                <w:rFonts w:ascii="Arial Narrow" w:hAnsi="Arial Narrow" w:cs="Calibri"/>
                <w:color w:val="333333"/>
              </w:rPr>
              <w:t xml:space="preserve"> is reached</w:t>
            </w:r>
          </w:p>
          <w:p w14:paraId="532F3283" w14:textId="77777777" w:rsidR="00A378F3" w:rsidRPr="00D937C0" w:rsidRDefault="00A378F3" w:rsidP="00F5270D">
            <w:pPr>
              <w:pStyle w:val="ListParagraph"/>
              <w:numPr>
                <w:ilvl w:val="0"/>
                <w:numId w:val="45"/>
              </w:num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Copayments, </w:t>
            </w:r>
            <w:proofErr w:type="gramStart"/>
            <w:r w:rsidRPr="00D937C0">
              <w:rPr>
                <w:rFonts w:ascii="Arial Narrow" w:hAnsi="Arial Narrow" w:cs="Calibri"/>
                <w:color w:val="333333"/>
              </w:rPr>
              <w:t>coinsurance</w:t>
            </w:r>
            <w:proofErr w:type="gramEnd"/>
            <w:r w:rsidRPr="00D937C0">
              <w:rPr>
                <w:rFonts w:ascii="Arial Narrow" w:hAnsi="Arial Narrow" w:cs="Calibri"/>
                <w:color w:val="333333"/>
              </w:rPr>
              <w:t xml:space="preserve"> and prescription drugs </w:t>
            </w:r>
          </w:p>
          <w:p w14:paraId="54B19D56" w14:textId="77777777" w:rsidR="00A378F3" w:rsidRPr="00D937C0" w:rsidRDefault="00A378F3" w:rsidP="00F5270D">
            <w:pPr>
              <w:pStyle w:val="ListParagraph"/>
              <w:numPr>
                <w:ilvl w:val="0"/>
                <w:numId w:val="45"/>
              </w:num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Long</w:t>
            </w:r>
            <w:r w:rsidR="00E93A00" w:rsidRPr="00D937C0">
              <w:rPr>
                <w:rFonts w:ascii="Arial Narrow" w:hAnsi="Arial Narrow" w:cs="Calibri"/>
                <w:color w:val="333333"/>
              </w:rPr>
              <w:t>-</w:t>
            </w:r>
            <w:r w:rsidRPr="00D937C0">
              <w:rPr>
                <w:rFonts w:ascii="Arial Narrow" w:hAnsi="Arial Narrow" w:cs="Calibri"/>
                <w:color w:val="333333"/>
              </w:rPr>
              <w:t>term care premiums</w:t>
            </w:r>
          </w:p>
          <w:p w14:paraId="3CEDCC9A" w14:textId="77777777" w:rsidR="00A378F3" w:rsidRPr="00D937C0" w:rsidRDefault="00A378F3" w:rsidP="00F5270D">
            <w:pPr>
              <w:pStyle w:val="ListParagraph"/>
              <w:numPr>
                <w:ilvl w:val="0"/>
                <w:numId w:val="45"/>
              </w:num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Dental and vison c</w:t>
            </w:r>
            <w:r w:rsidR="008A7BA0" w:rsidRPr="00D937C0">
              <w:rPr>
                <w:rFonts w:ascii="Arial Narrow" w:hAnsi="Arial Narrow" w:cs="Calibri"/>
                <w:color w:val="333333"/>
              </w:rPr>
              <w:t>are expenses not covered by the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health plan</w:t>
            </w:r>
          </w:p>
          <w:p w14:paraId="09CEFA0E" w14:textId="77777777" w:rsidR="00A378F3" w:rsidRPr="00D937C0" w:rsidRDefault="00A378F3" w:rsidP="00D95324">
            <w:pPr>
              <w:rPr>
                <w:rStyle w:val="A1"/>
                <w:rFonts w:ascii="Arial Narrow" w:hAnsi="Arial Narrow" w:cs="Calibri"/>
                <w:b/>
                <w:color w:val="333333"/>
              </w:rPr>
            </w:pPr>
          </w:p>
          <w:p w14:paraId="645B90D9" w14:textId="77777777" w:rsidR="003D52B4" w:rsidRPr="00D937C0" w:rsidRDefault="003D52B4" w:rsidP="00D95324">
            <w:pPr>
              <w:rPr>
                <w:rStyle w:val="A1"/>
                <w:rFonts w:ascii="Arial Narrow" w:hAnsi="Arial Narrow" w:cs="Calibri"/>
                <w:b/>
                <w:color w:val="333333"/>
              </w:rPr>
            </w:pPr>
          </w:p>
          <w:p w14:paraId="27D0C3A7" w14:textId="77777777" w:rsidR="00A378F3" w:rsidRPr="00D937C0" w:rsidRDefault="00A378F3" w:rsidP="00D95324">
            <w:pPr>
              <w:rPr>
                <w:rStyle w:val="A1"/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Style w:val="A1"/>
                <w:rFonts w:ascii="Arial Narrow" w:hAnsi="Arial Narrow" w:cs="Calibri"/>
                <w:b/>
                <w:color w:val="333333"/>
              </w:rPr>
              <w:t>Ineligible:</w:t>
            </w:r>
          </w:p>
          <w:p w14:paraId="0EEEA9F3" w14:textId="77777777" w:rsidR="00A378F3" w:rsidRPr="00D937C0" w:rsidRDefault="00A378F3" w:rsidP="00F5270D">
            <w:pPr>
              <w:pStyle w:val="ListParagraph"/>
              <w:numPr>
                <w:ilvl w:val="0"/>
                <w:numId w:val="47"/>
              </w:numPr>
              <w:spacing w:before="120" w:after="0" w:line="260" w:lineRule="exact"/>
              <w:rPr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Health insurance monthly premiums</w:t>
            </w:r>
          </w:p>
          <w:p w14:paraId="0E95280C" w14:textId="13C94908" w:rsidR="007313A5" w:rsidRPr="00D937C0" w:rsidRDefault="00A378F3" w:rsidP="00D95324">
            <w:pPr>
              <w:pStyle w:val="ListParagraph"/>
              <w:numPr>
                <w:ilvl w:val="0"/>
                <w:numId w:val="47"/>
              </w:numPr>
              <w:spacing w:before="120" w:after="0" w:line="260" w:lineRule="exact"/>
              <w:rPr>
                <w:rFonts w:ascii="Arial Narrow" w:hAnsi="Arial Narrow" w:cs="Calibri"/>
                <w:b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Expenses that </w:t>
            </w:r>
            <w:proofErr w:type="gramStart"/>
            <w:r w:rsidRPr="00D937C0">
              <w:rPr>
                <w:rFonts w:ascii="Arial Narrow" w:hAnsi="Arial Narrow" w:cs="Calibri"/>
                <w:color w:val="333333"/>
              </w:rPr>
              <w:t>aren’t</w:t>
            </w:r>
            <w:proofErr w:type="gramEnd"/>
            <w:r w:rsidRPr="00D937C0">
              <w:rPr>
                <w:rFonts w:ascii="Arial Narrow" w:hAnsi="Arial Narrow" w:cs="Calibri"/>
                <w:color w:val="333333"/>
              </w:rPr>
              <w:t xml:space="preserve"> related to medical treatment or care as defined by the IRS.</w:t>
            </w:r>
          </w:p>
          <w:p w14:paraId="0B2E024B" w14:textId="77777777" w:rsidR="005D6A33" w:rsidRPr="00D937C0" w:rsidRDefault="005D6A33" w:rsidP="00704D77">
            <w:pPr>
              <w:autoSpaceDE w:val="0"/>
              <w:autoSpaceDN w:val="0"/>
              <w:adjustRightInd w:val="0"/>
              <w:spacing w:before="120" w:after="0" w:line="260" w:lineRule="exact"/>
              <w:rPr>
                <w:rFonts w:ascii="Arial Narrow" w:eastAsiaTheme="minorEastAsia" w:hAnsi="Arial Narrow" w:cs="Calibri"/>
                <w:color w:val="333333"/>
              </w:rPr>
            </w:pPr>
          </w:p>
        </w:tc>
      </w:tr>
      <w:tr w:rsidR="00D20F8E" w:rsidRPr="008F7B61" w14:paraId="51546CF9" w14:textId="77777777" w:rsidTr="0098016B">
        <w:trPr>
          <w:trHeight w:val="1529"/>
        </w:trPr>
        <w:tc>
          <w:tcPr>
            <w:tcW w:w="1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115FD" w14:textId="77777777" w:rsidR="00B96EC0" w:rsidRPr="00D937C0" w:rsidRDefault="00B96EC0" w:rsidP="00601493">
            <w:pPr>
              <w:spacing w:after="0"/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</w:pPr>
            <w:r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>What about keeping receipts?</w:t>
            </w:r>
          </w:p>
        </w:tc>
        <w:tc>
          <w:tcPr>
            <w:tcW w:w="9171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8563DA" w14:textId="77777777" w:rsidR="00B96EC0" w:rsidRPr="00D937C0" w:rsidRDefault="00B96EC0" w:rsidP="00704D77">
            <w:p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proofErr w:type="gramStart"/>
            <w:r w:rsidRPr="00D937C0">
              <w:rPr>
                <w:rFonts w:ascii="Arial Narrow" w:eastAsiaTheme="minorEastAsia" w:hAnsi="Arial Narrow" w:cs="Calibri"/>
                <w:color w:val="333333"/>
              </w:rPr>
              <w:t>It’s</w:t>
            </w:r>
            <w:proofErr w:type="gramEnd"/>
            <w:r w:rsidRPr="00D937C0">
              <w:rPr>
                <w:rFonts w:ascii="Arial Narrow" w:eastAsiaTheme="minorEastAsia" w:hAnsi="Arial Narrow" w:cs="Calibri"/>
                <w:color w:val="333333"/>
              </w:rPr>
              <w:t xml:space="preserve"> important to save all your receipts and explanation of benefits (EOB) statements to validate expenses, as required by the IRS.</w:t>
            </w:r>
          </w:p>
        </w:tc>
      </w:tr>
      <w:tr w:rsidR="00D20F8E" w:rsidRPr="008F7B61" w14:paraId="7AE32F87" w14:textId="77777777" w:rsidTr="0098016B">
        <w:trPr>
          <w:trHeight w:val="2240"/>
        </w:trPr>
        <w:tc>
          <w:tcPr>
            <w:tcW w:w="1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E570F0" w14:textId="77777777" w:rsidR="00B95C33" w:rsidRPr="00D937C0" w:rsidRDefault="00175103" w:rsidP="00175103">
            <w:pPr>
              <w:spacing w:after="0"/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</w:pPr>
            <w:r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 xml:space="preserve">What happens to </w:t>
            </w:r>
            <w:r w:rsidR="00B95C33"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>unused funds at the end of the yea</w:t>
            </w:r>
            <w:r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>r</w:t>
            </w:r>
            <w:r w:rsidR="00B95C33"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>?</w:t>
            </w:r>
          </w:p>
        </w:tc>
        <w:tc>
          <w:tcPr>
            <w:tcW w:w="308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2A70EB" w14:textId="77777777" w:rsidR="00B95C33" w:rsidRPr="00D937C0" w:rsidRDefault="00175103" w:rsidP="00704D77">
            <w:p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An HSA account belongs to the employee. Any funds remaining at the end of the year roll</w:t>
            </w:r>
            <w:r w:rsidR="0054485C" w:rsidRPr="00D937C0">
              <w:rPr>
                <w:rFonts w:ascii="Arial Narrow" w:hAnsi="Arial Narrow" w:cs="Calibri"/>
                <w:color w:val="333333"/>
              </w:rPr>
              <w:t xml:space="preserve"> </w:t>
            </w:r>
            <w:r w:rsidRPr="00D937C0">
              <w:rPr>
                <w:rFonts w:ascii="Arial Narrow" w:hAnsi="Arial Narrow" w:cs="Calibri"/>
                <w:color w:val="333333"/>
              </w:rPr>
              <w:t>over to the next year.</w:t>
            </w:r>
          </w:p>
        </w:tc>
        <w:tc>
          <w:tcPr>
            <w:tcW w:w="30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3AB704" w14:textId="77777777" w:rsidR="00175103" w:rsidRPr="00D937C0" w:rsidRDefault="00175103" w:rsidP="00704D77">
            <w:pPr>
              <w:spacing w:after="0" w:line="28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Employers determine if remaining funds will roll</w:t>
            </w:r>
            <w:r w:rsidR="0054485C" w:rsidRPr="00D937C0">
              <w:rPr>
                <w:rFonts w:ascii="Arial Narrow" w:hAnsi="Arial Narrow" w:cs="Calibri"/>
                <w:color w:val="333333"/>
              </w:rPr>
              <w:t xml:space="preserve"> </w:t>
            </w:r>
            <w:r w:rsidRPr="00D937C0">
              <w:rPr>
                <w:rFonts w:ascii="Arial Narrow" w:hAnsi="Arial Narrow" w:cs="Calibri"/>
                <w:color w:val="333333"/>
              </w:rPr>
              <w:t>over to the following plan year and any limitations on the rollover amounts. </w:t>
            </w:r>
          </w:p>
          <w:p w14:paraId="2D8C17E1" w14:textId="77777777" w:rsidR="00B95C33" w:rsidRPr="00D937C0" w:rsidRDefault="00B95C33" w:rsidP="00D95324">
            <w:pPr>
              <w:spacing w:after="0" w:line="280" w:lineRule="exact"/>
              <w:rPr>
                <w:rFonts w:ascii="Arial Narrow" w:hAnsi="Arial Narrow" w:cs="Calibri"/>
                <w:color w:val="333333"/>
              </w:rPr>
            </w:pPr>
          </w:p>
        </w:tc>
        <w:tc>
          <w:tcPr>
            <w:tcW w:w="3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CDD4A" w14:textId="77777777" w:rsidR="0042217E" w:rsidRPr="00D937C0" w:rsidRDefault="0042217E" w:rsidP="0042217E">
            <w:pPr>
              <w:spacing w:after="0" w:line="28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Employers determine if remaining funds will roll over to the following plan year and any limitations on the rollover amounts. </w:t>
            </w:r>
          </w:p>
          <w:p w14:paraId="3B4255D2" w14:textId="77777777" w:rsidR="00B95C33" w:rsidRPr="00D937C0" w:rsidRDefault="00B95C33" w:rsidP="0042217E">
            <w:p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</w:p>
        </w:tc>
      </w:tr>
      <w:tr w:rsidR="00D20F8E" w:rsidRPr="008F7B61" w14:paraId="5CAF7119" w14:textId="77777777" w:rsidTr="0098016B">
        <w:trPr>
          <w:trHeight w:val="1700"/>
        </w:trPr>
        <w:tc>
          <w:tcPr>
            <w:tcW w:w="1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A350DD" w14:textId="77777777" w:rsidR="001F3480" w:rsidRPr="00D937C0" w:rsidRDefault="001F3480" w:rsidP="00175103">
            <w:pPr>
              <w:spacing w:after="0"/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</w:pPr>
            <w:r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lastRenderedPageBreak/>
              <w:t>What other accounts can you pair with?</w:t>
            </w:r>
          </w:p>
        </w:tc>
        <w:tc>
          <w:tcPr>
            <w:tcW w:w="308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2342F" w14:textId="77777777" w:rsidR="001F3480" w:rsidRPr="00D937C0" w:rsidRDefault="001F3480" w:rsidP="00704D77">
            <w:p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May be paired with a</w:t>
            </w:r>
            <w:r w:rsidR="0042217E" w:rsidRPr="00D937C0">
              <w:rPr>
                <w:rFonts w:ascii="Arial Narrow" w:hAnsi="Arial Narrow" w:cs="Calibri"/>
                <w:color w:val="333333"/>
              </w:rPr>
              <w:t xml:space="preserve"> limited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HRA or FSA </w:t>
            </w:r>
            <w:r w:rsidR="0042217E" w:rsidRPr="00D937C0">
              <w:rPr>
                <w:rFonts w:ascii="Arial Narrow" w:hAnsi="Arial Narrow" w:cs="Calibri"/>
                <w:color w:val="333333"/>
              </w:rPr>
              <w:t xml:space="preserve">which can be used on 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amounts over </w:t>
            </w:r>
            <w:r w:rsidR="0042217E" w:rsidRPr="00D937C0">
              <w:rPr>
                <w:rFonts w:ascii="Arial Narrow" w:hAnsi="Arial Narrow" w:cs="Calibri"/>
                <w:color w:val="333333"/>
              </w:rPr>
              <w:t xml:space="preserve">the 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deductible, or dental/vision </w:t>
            </w:r>
            <w:r w:rsidR="0042217E" w:rsidRPr="00D937C0">
              <w:rPr>
                <w:rFonts w:ascii="Arial Narrow" w:hAnsi="Arial Narrow" w:cs="Calibri"/>
                <w:color w:val="333333"/>
              </w:rPr>
              <w:t>expenses.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</w:t>
            </w:r>
          </w:p>
          <w:p w14:paraId="4E78B954" w14:textId="77777777" w:rsidR="001F3480" w:rsidRPr="00D937C0" w:rsidRDefault="001F3480" w:rsidP="00704D77">
            <w:p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</w:p>
        </w:tc>
        <w:tc>
          <w:tcPr>
            <w:tcW w:w="30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6AA595" w14:textId="77777777" w:rsidR="001F3480" w:rsidRPr="00D937C0" w:rsidRDefault="001F3480" w:rsidP="00D95324">
            <w:pPr>
              <w:spacing w:after="0" w:line="28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May be paired with an FSA</w:t>
            </w:r>
            <w:r w:rsidR="004D04F4" w:rsidRPr="00D937C0">
              <w:rPr>
                <w:rFonts w:ascii="Arial Narrow" w:hAnsi="Arial Narrow" w:cs="Calibri"/>
                <w:color w:val="333333"/>
              </w:rPr>
              <w:t>. If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paired with an HSA, must be limited to amounts over the deductible or to dental/vision only.</w:t>
            </w:r>
          </w:p>
          <w:p w14:paraId="7E5F0557" w14:textId="77777777" w:rsidR="001F3480" w:rsidRPr="00D937C0" w:rsidRDefault="001F3480" w:rsidP="00D95324">
            <w:pPr>
              <w:spacing w:after="0" w:line="280" w:lineRule="exact"/>
              <w:rPr>
                <w:rFonts w:ascii="Arial Narrow" w:hAnsi="Arial Narrow" w:cs="Calibri"/>
                <w:color w:val="333333"/>
              </w:rPr>
            </w:pPr>
          </w:p>
        </w:tc>
        <w:tc>
          <w:tcPr>
            <w:tcW w:w="3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5CCDFF" w14:textId="77777777" w:rsidR="001F3480" w:rsidRPr="00D937C0" w:rsidRDefault="001F3480" w:rsidP="00D95324">
            <w:p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May be paired with an HRA. If paired with an HSA, must be limited to amounts over the deductible or to dental/vision only.</w:t>
            </w:r>
          </w:p>
          <w:p w14:paraId="69577EFC" w14:textId="77777777" w:rsidR="001F3480" w:rsidRPr="00D937C0" w:rsidRDefault="001F3480" w:rsidP="00D95324">
            <w:p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</w:p>
        </w:tc>
      </w:tr>
      <w:tr w:rsidR="00D20F8E" w:rsidRPr="008F7B61" w14:paraId="6A1B9689" w14:textId="77777777" w:rsidTr="0098016B">
        <w:trPr>
          <w:trHeight w:val="2060"/>
        </w:trPr>
        <w:tc>
          <w:tcPr>
            <w:tcW w:w="1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92A6F8" w14:textId="77777777" w:rsidR="00B95C33" w:rsidRPr="00D937C0" w:rsidRDefault="00B95C33" w:rsidP="00E86B83">
            <w:pPr>
              <w:spacing w:after="0"/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</w:pPr>
            <w:r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 xml:space="preserve">What if </w:t>
            </w:r>
            <w:r w:rsidR="00E86B83"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 xml:space="preserve">an employee changes </w:t>
            </w:r>
            <w:r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>job</w:t>
            </w:r>
            <w:r w:rsidR="00E86B83"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>s or retires</w:t>
            </w:r>
            <w:r w:rsidRPr="00D937C0">
              <w:rPr>
                <w:rFonts w:ascii="Arial Narrow" w:hAnsi="Arial Narrow" w:cs="Calibri"/>
                <w:b/>
                <w:color w:val="333333"/>
                <w:sz w:val="24"/>
                <w:szCs w:val="24"/>
              </w:rPr>
              <w:t>?</w:t>
            </w:r>
          </w:p>
        </w:tc>
        <w:tc>
          <w:tcPr>
            <w:tcW w:w="308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1C5E9A" w14:textId="77777777" w:rsidR="00B95C33" w:rsidRPr="00D937C0" w:rsidRDefault="0062750C" w:rsidP="00704D77">
            <w:pPr>
              <w:spacing w:after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HSA accounts are portable, meaning </w:t>
            </w:r>
            <w:r w:rsidR="00E86B83" w:rsidRPr="00D937C0">
              <w:rPr>
                <w:rFonts w:ascii="Arial Narrow" w:hAnsi="Arial Narrow" w:cs="Calibri"/>
                <w:color w:val="333333"/>
              </w:rPr>
              <w:t>employees keep all funds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, even if </w:t>
            </w:r>
            <w:r w:rsidR="00E86B83" w:rsidRPr="00D937C0">
              <w:rPr>
                <w:rFonts w:ascii="Arial Narrow" w:hAnsi="Arial Narrow" w:cs="Calibri"/>
                <w:color w:val="333333"/>
              </w:rPr>
              <w:t xml:space="preserve">they </w:t>
            </w:r>
            <w:r w:rsidRPr="00D937C0">
              <w:rPr>
                <w:rFonts w:ascii="Arial Narrow" w:hAnsi="Arial Narrow" w:cs="Calibri"/>
                <w:color w:val="333333"/>
              </w:rPr>
              <w:t>change jobs or retire.</w:t>
            </w:r>
          </w:p>
        </w:tc>
        <w:tc>
          <w:tcPr>
            <w:tcW w:w="30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65D9A5" w14:textId="77777777" w:rsidR="00B95C33" w:rsidRPr="00D937C0" w:rsidRDefault="00B95C33" w:rsidP="00986D8D">
            <w:pPr>
              <w:spacing w:after="0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 xml:space="preserve">Funds in the account cannot be maintained </w:t>
            </w:r>
            <w:r w:rsidR="00E86B83" w:rsidRPr="00D937C0">
              <w:rPr>
                <w:rFonts w:ascii="Arial Narrow" w:hAnsi="Arial Narrow" w:cs="Calibri"/>
                <w:color w:val="333333"/>
              </w:rPr>
              <w:t>by the employee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</w:t>
            </w:r>
            <w:r w:rsidR="00E86B83" w:rsidRPr="00D937C0">
              <w:rPr>
                <w:rFonts w:ascii="Arial Narrow" w:hAnsi="Arial Narrow" w:cs="Calibri"/>
                <w:color w:val="333333"/>
              </w:rPr>
              <w:t>if they change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job</w:t>
            </w:r>
            <w:r w:rsidR="00E86B83" w:rsidRPr="00D937C0">
              <w:rPr>
                <w:rFonts w:ascii="Arial Narrow" w:hAnsi="Arial Narrow" w:cs="Calibri"/>
                <w:color w:val="333333"/>
              </w:rPr>
              <w:t>s</w:t>
            </w:r>
            <w:r w:rsidRPr="00D937C0">
              <w:rPr>
                <w:rFonts w:ascii="Arial Narrow" w:hAnsi="Arial Narrow" w:cs="Calibri"/>
                <w:color w:val="333333"/>
              </w:rPr>
              <w:t xml:space="preserve"> or retire.</w:t>
            </w:r>
          </w:p>
        </w:tc>
        <w:tc>
          <w:tcPr>
            <w:tcW w:w="3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B3C0C" w14:textId="77777777" w:rsidR="00B95C33" w:rsidRPr="00D937C0" w:rsidRDefault="00E86B83" w:rsidP="00D95324">
            <w:pPr>
              <w:spacing w:after="0" w:line="260" w:lineRule="exact"/>
              <w:rPr>
                <w:rFonts w:ascii="Arial Narrow" w:hAnsi="Arial Narrow" w:cs="Calibri"/>
                <w:color w:val="333333"/>
              </w:rPr>
            </w:pPr>
            <w:r w:rsidRPr="00D937C0">
              <w:rPr>
                <w:rFonts w:ascii="Arial Narrow" w:hAnsi="Arial Narrow" w:cs="Calibri"/>
                <w:color w:val="333333"/>
              </w:rPr>
              <w:t>Funds in the account cannot be maintained by the employee if they change jobs or retire.</w:t>
            </w:r>
          </w:p>
        </w:tc>
      </w:tr>
    </w:tbl>
    <w:p w14:paraId="3F6B017A" w14:textId="77777777" w:rsidR="00B0302D" w:rsidRPr="008F7B61" w:rsidRDefault="00B0302D" w:rsidP="00180857">
      <w:pPr>
        <w:spacing w:after="0"/>
        <w:rPr>
          <w:rFonts w:ascii="Calibri" w:hAnsi="Calibri" w:cs="Calibri"/>
          <w:color w:val="333333"/>
          <w:sz w:val="2"/>
          <w:szCs w:val="2"/>
        </w:rPr>
      </w:pPr>
    </w:p>
    <w:p w14:paraId="07247AE4" w14:textId="77777777" w:rsidR="00B0302D" w:rsidRPr="008F7B61" w:rsidRDefault="00B0302D" w:rsidP="00180857">
      <w:pPr>
        <w:spacing w:after="0"/>
        <w:rPr>
          <w:rFonts w:ascii="Calibri" w:hAnsi="Calibri" w:cs="Calibri"/>
          <w:color w:val="333333"/>
          <w:sz w:val="2"/>
          <w:szCs w:val="2"/>
        </w:rPr>
      </w:pPr>
    </w:p>
    <w:p w14:paraId="1D8B40F1" w14:textId="77777777" w:rsidR="00B0302D" w:rsidRPr="008F7B61" w:rsidRDefault="00B0302D" w:rsidP="00180857">
      <w:pPr>
        <w:spacing w:after="0"/>
        <w:rPr>
          <w:rFonts w:ascii="Calibri" w:hAnsi="Calibri" w:cs="Calibri"/>
          <w:color w:val="333333"/>
          <w:sz w:val="2"/>
          <w:szCs w:val="2"/>
        </w:rPr>
      </w:pPr>
    </w:p>
    <w:p w14:paraId="0247154D" w14:textId="77777777" w:rsidR="00B0302D" w:rsidRPr="008F7B61" w:rsidRDefault="00B0302D" w:rsidP="00180857">
      <w:pPr>
        <w:spacing w:after="0"/>
        <w:rPr>
          <w:rFonts w:ascii="Calibri" w:hAnsi="Calibri" w:cs="Calibri"/>
          <w:color w:val="333333"/>
          <w:sz w:val="2"/>
          <w:szCs w:val="2"/>
        </w:rPr>
      </w:pPr>
    </w:p>
    <w:p w14:paraId="7C08E3D7" w14:textId="77777777" w:rsidR="00B0302D" w:rsidRPr="008F7B61" w:rsidRDefault="00B0302D" w:rsidP="00180857">
      <w:pPr>
        <w:spacing w:after="0"/>
        <w:rPr>
          <w:rFonts w:ascii="Calibri" w:hAnsi="Calibri" w:cs="Calibri"/>
          <w:color w:val="333333"/>
          <w:sz w:val="2"/>
          <w:szCs w:val="2"/>
        </w:rPr>
      </w:pPr>
    </w:p>
    <w:p w14:paraId="7C19AA23" w14:textId="77777777" w:rsidR="00B0302D" w:rsidRPr="008F7B61" w:rsidRDefault="00B0302D" w:rsidP="00180857">
      <w:pPr>
        <w:spacing w:after="0"/>
        <w:rPr>
          <w:rFonts w:ascii="Calibri" w:hAnsi="Calibri" w:cs="Calibri"/>
          <w:color w:val="333333"/>
          <w:sz w:val="2"/>
          <w:szCs w:val="2"/>
        </w:rPr>
      </w:pPr>
    </w:p>
    <w:p w14:paraId="7FA0FB5E" w14:textId="77777777" w:rsidR="00B0302D" w:rsidRPr="008F7B61" w:rsidRDefault="00B0302D" w:rsidP="00180857">
      <w:pPr>
        <w:spacing w:after="0"/>
        <w:rPr>
          <w:rFonts w:ascii="Calibri" w:hAnsi="Calibri" w:cs="Calibri"/>
          <w:color w:val="333333"/>
          <w:sz w:val="2"/>
          <w:szCs w:val="2"/>
        </w:rPr>
      </w:pPr>
    </w:p>
    <w:p w14:paraId="5DD852B0" w14:textId="77777777" w:rsidR="00B0302D" w:rsidRPr="008F7B61" w:rsidRDefault="00B0302D" w:rsidP="00180857">
      <w:pPr>
        <w:spacing w:after="0"/>
        <w:rPr>
          <w:rFonts w:ascii="Calibri" w:hAnsi="Calibri" w:cs="Calibri"/>
          <w:color w:val="333333"/>
          <w:sz w:val="2"/>
          <w:szCs w:val="2"/>
        </w:rPr>
      </w:pPr>
    </w:p>
    <w:p w14:paraId="4EE9086C" w14:textId="77777777" w:rsidR="00B0302D" w:rsidRPr="008F7B61" w:rsidRDefault="00B0302D" w:rsidP="00180857">
      <w:pPr>
        <w:spacing w:after="0"/>
        <w:rPr>
          <w:rFonts w:ascii="Calibri" w:hAnsi="Calibri" w:cs="Calibri"/>
          <w:color w:val="333333"/>
          <w:sz w:val="2"/>
          <w:szCs w:val="2"/>
        </w:rPr>
      </w:pPr>
    </w:p>
    <w:p w14:paraId="5CF4F2F2" w14:textId="77777777" w:rsidR="00B0302D" w:rsidRPr="008F7B61" w:rsidRDefault="00B0302D" w:rsidP="00180857">
      <w:pPr>
        <w:spacing w:after="0"/>
        <w:rPr>
          <w:rFonts w:ascii="Calibri" w:hAnsi="Calibri" w:cs="Calibri"/>
          <w:color w:val="333333"/>
          <w:sz w:val="2"/>
          <w:szCs w:val="2"/>
        </w:rPr>
      </w:pPr>
    </w:p>
    <w:p w14:paraId="3C191457" w14:textId="77777777" w:rsidR="00B0302D" w:rsidRPr="008F7B61" w:rsidRDefault="00B0302D" w:rsidP="00180857">
      <w:pPr>
        <w:spacing w:after="0"/>
        <w:rPr>
          <w:rFonts w:ascii="Calibri" w:hAnsi="Calibri" w:cs="Calibri"/>
          <w:color w:val="333333"/>
          <w:sz w:val="2"/>
          <w:szCs w:val="2"/>
        </w:rPr>
      </w:pPr>
    </w:p>
    <w:sectPr w:rsidR="00B0302D" w:rsidRPr="008F7B61" w:rsidSect="00952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A79A7" w14:textId="77777777" w:rsidR="00337646" w:rsidRDefault="00337646" w:rsidP="00AC5119">
      <w:pPr>
        <w:spacing w:after="0" w:line="240" w:lineRule="auto"/>
      </w:pPr>
      <w:r>
        <w:separator/>
      </w:r>
    </w:p>
  </w:endnote>
  <w:endnote w:type="continuationSeparator" w:id="0">
    <w:p w14:paraId="5251DC91" w14:textId="77777777" w:rsidR="00337646" w:rsidRDefault="00337646" w:rsidP="00A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C7A3B" w14:textId="77777777" w:rsidR="00E60BD7" w:rsidRDefault="00E60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A960" w14:textId="3FB2744F" w:rsidR="00917573" w:rsidRDefault="00907D17">
    <w:pPr>
      <w:pStyle w:val="Footer"/>
    </w:pPr>
    <w:r>
      <w:t>X2259</w:t>
    </w:r>
    <w:r w:rsidR="000C53E8">
      <w:t>R0</w:t>
    </w:r>
    <w:r w:rsidR="00E60BD7">
      <w:t>2</w:t>
    </w:r>
    <w:r>
      <w:t xml:space="preserve"> (</w:t>
    </w:r>
    <w:r w:rsidR="000C53E8">
      <w:t>11</w:t>
    </w:r>
    <w:r>
      <w:t>/</w:t>
    </w:r>
    <w:r w:rsidR="00E60BD7">
      <w:t>20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9CEF" w14:textId="77777777" w:rsidR="00E60BD7" w:rsidRDefault="00E6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2FDCA" w14:textId="77777777" w:rsidR="00337646" w:rsidRDefault="00337646" w:rsidP="00AC5119">
      <w:pPr>
        <w:spacing w:after="0" w:line="240" w:lineRule="auto"/>
      </w:pPr>
      <w:r>
        <w:separator/>
      </w:r>
    </w:p>
  </w:footnote>
  <w:footnote w:type="continuationSeparator" w:id="0">
    <w:p w14:paraId="147D108A" w14:textId="77777777" w:rsidR="00337646" w:rsidRDefault="00337646" w:rsidP="00A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C32C" w14:textId="77777777" w:rsidR="00E60BD7" w:rsidRDefault="00E60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6EC5" w14:textId="77777777" w:rsidR="00E60BD7" w:rsidRDefault="00E60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67F0" w14:textId="0D2EDD87" w:rsidR="0066745D" w:rsidRDefault="00917573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5926F9BA" wp14:editId="58BE6679">
          <wp:simplePos x="0" y="0"/>
          <wp:positionH relativeFrom="column">
            <wp:posOffset>5130176</wp:posOffset>
          </wp:positionH>
          <wp:positionV relativeFrom="paragraph">
            <wp:posOffset>10160</wp:posOffset>
          </wp:positionV>
          <wp:extent cx="1439545" cy="452755"/>
          <wp:effectExtent l="0" t="0" r="0" b="0"/>
          <wp:wrapTight wrapText="bothSides">
            <wp:wrapPolygon edited="0">
              <wp:start x="19247" y="0"/>
              <wp:lineTo x="0" y="9088"/>
              <wp:lineTo x="0" y="18783"/>
              <wp:lineTo x="2858" y="19994"/>
              <wp:lineTo x="4192" y="19994"/>
              <wp:lineTo x="19247" y="18783"/>
              <wp:lineTo x="20771" y="18177"/>
              <wp:lineTo x="20390" y="9694"/>
              <wp:lineTo x="21343" y="6059"/>
              <wp:lineTo x="21343" y="4241"/>
              <wp:lineTo x="20390" y="0"/>
              <wp:lineTo x="19247" y="0"/>
            </wp:wrapPolygon>
          </wp:wrapTight>
          <wp:docPr id="2" name="Picture 2" descr="../../+Brand/Logos/Primary%20Logos/Transitional/PNG/SA-Further-transitional%20logo%20lockup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Transitional/PNG/SA-Further-transitional%20logo%20lockup_YellowBlac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24"/>
                  <a:stretch/>
                </pic:blipFill>
                <pic:spPr bwMode="auto">
                  <a:xfrm>
                    <a:off x="0" y="0"/>
                    <a:ext cx="143954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902E8" wp14:editId="60F405C9">
              <wp:simplePos x="0" y="0"/>
              <wp:positionH relativeFrom="column">
                <wp:posOffset>-245739</wp:posOffset>
              </wp:positionH>
              <wp:positionV relativeFrom="paragraph">
                <wp:posOffset>104887</wp:posOffset>
              </wp:positionV>
              <wp:extent cx="3771900" cy="4572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B9FF" w14:textId="77777777" w:rsidR="00D20F8E" w:rsidRPr="00B753CF" w:rsidRDefault="00D20F8E" w:rsidP="00D20F8E">
                          <w:pPr>
                            <w:rPr>
                              <w:color w:val="FFCD06"/>
                              <w:sz w:val="48"/>
                            </w:rPr>
                          </w:pPr>
                          <w:r w:rsidRPr="00B753CF">
                            <w:rPr>
                              <w:color w:val="FFCD06"/>
                              <w:sz w:val="48"/>
                            </w:rPr>
                            <w:t>Product comparison chart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902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9.35pt;margin-top:8.25pt;width:29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" filled="f" stroked="f">
              <v:textbox>
                <w:txbxContent>
                  <w:p w14:paraId="4A93B9FF" w14:textId="77777777" w:rsidR="00D20F8E" w:rsidRPr="00B753CF" w:rsidRDefault="00D20F8E" w:rsidP="00D20F8E">
                    <w:pPr>
                      <w:rPr>
                        <w:color w:val="FFCD06"/>
                        <w:sz w:val="48"/>
                      </w:rPr>
                    </w:pPr>
                    <w:r w:rsidRPr="00B753CF">
                      <w:rPr>
                        <w:color w:val="FFCD06"/>
                        <w:sz w:val="48"/>
                      </w:rPr>
                      <w:t>Product comparison chart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4C2287" w14:textId="2DFC6B91" w:rsidR="00A16B43" w:rsidRDefault="00A16B43" w:rsidP="00B94AB3">
    <w:pPr>
      <w:pStyle w:val="Header"/>
      <w:rPr>
        <w:sz w:val="2"/>
        <w:szCs w:val="2"/>
      </w:rPr>
    </w:pPr>
  </w:p>
  <w:p w14:paraId="26D58690" w14:textId="3C9F471B" w:rsidR="00A16B43" w:rsidRDefault="00A16B4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4EA9"/>
    <w:multiLevelType w:val="hybridMultilevel"/>
    <w:tmpl w:val="B8647E80"/>
    <w:lvl w:ilvl="0" w:tplc="30FCC1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4462"/>
    <w:multiLevelType w:val="hybridMultilevel"/>
    <w:tmpl w:val="47E2FEF8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6B53"/>
    <w:multiLevelType w:val="hybridMultilevel"/>
    <w:tmpl w:val="1E7028DE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C5C20"/>
    <w:multiLevelType w:val="hybridMultilevel"/>
    <w:tmpl w:val="EAF8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3409A"/>
    <w:multiLevelType w:val="hybridMultilevel"/>
    <w:tmpl w:val="2E4EB9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847"/>
    <w:multiLevelType w:val="hybridMultilevel"/>
    <w:tmpl w:val="B31476C8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321F"/>
    <w:multiLevelType w:val="hybridMultilevel"/>
    <w:tmpl w:val="5F9695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627792F"/>
    <w:multiLevelType w:val="hybridMultilevel"/>
    <w:tmpl w:val="4184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35F01"/>
    <w:multiLevelType w:val="hybridMultilevel"/>
    <w:tmpl w:val="D87CC46A"/>
    <w:lvl w:ilvl="0" w:tplc="30FCC1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D0AE4"/>
    <w:multiLevelType w:val="hybridMultilevel"/>
    <w:tmpl w:val="F87426B6"/>
    <w:lvl w:ilvl="0" w:tplc="30FCC1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E16"/>
    <w:multiLevelType w:val="hybridMultilevel"/>
    <w:tmpl w:val="5D480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D95076"/>
    <w:multiLevelType w:val="hybridMultilevel"/>
    <w:tmpl w:val="F90ABDC4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B08A618">
      <w:numFmt w:val="bullet"/>
      <w:lvlText w:val="–"/>
      <w:lvlJc w:val="left"/>
      <w:pPr>
        <w:ind w:left="1080" w:hanging="360"/>
      </w:pPr>
      <w:rPr>
        <w:rFonts w:ascii="Arial Narrow" w:eastAsiaTheme="minorEastAsia" w:hAnsi="Arial Narrow" w:cs="HelveticaNeueLT Std C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16790"/>
    <w:multiLevelType w:val="hybridMultilevel"/>
    <w:tmpl w:val="98C4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285A"/>
    <w:multiLevelType w:val="hybridMultilevel"/>
    <w:tmpl w:val="A282028C"/>
    <w:lvl w:ilvl="0" w:tplc="B2ACE9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A65BAE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79B7A24"/>
    <w:multiLevelType w:val="hybridMultilevel"/>
    <w:tmpl w:val="FD460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94D55"/>
    <w:multiLevelType w:val="hybridMultilevel"/>
    <w:tmpl w:val="DB78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0312B"/>
    <w:multiLevelType w:val="hybridMultilevel"/>
    <w:tmpl w:val="07989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B6C69"/>
    <w:multiLevelType w:val="hybridMultilevel"/>
    <w:tmpl w:val="A18C2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73E1B"/>
    <w:multiLevelType w:val="hybridMultilevel"/>
    <w:tmpl w:val="896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409B7"/>
    <w:multiLevelType w:val="hybridMultilevel"/>
    <w:tmpl w:val="DA56B7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41798"/>
    <w:multiLevelType w:val="hybridMultilevel"/>
    <w:tmpl w:val="93663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D7D7E"/>
    <w:multiLevelType w:val="hybridMultilevel"/>
    <w:tmpl w:val="40100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30681D"/>
    <w:multiLevelType w:val="hybridMultilevel"/>
    <w:tmpl w:val="F83EF5F4"/>
    <w:lvl w:ilvl="0" w:tplc="30FCC1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4" w15:restartNumberingAfterBreak="0">
    <w:nsid w:val="453B23BB"/>
    <w:multiLevelType w:val="hybridMultilevel"/>
    <w:tmpl w:val="FF285D20"/>
    <w:lvl w:ilvl="0" w:tplc="099AD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6672F"/>
    <w:multiLevelType w:val="hybridMultilevel"/>
    <w:tmpl w:val="A1B8A078"/>
    <w:lvl w:ilvl="0" w:tplc="30FCC1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4C00EF"/>
    <w:multiLevelType w:val="hybridMultilevel"/>
    <w:tmpl w:val="EB4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16865"/>
    <w:multiLevelType w:val="hybridMultilevel"/>
    <w:tmpl w:val="9210D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9F18D4"/>
    <w:multiLevelType w:val="hybridMultilevel"/>
    <w:tmpl w:val="85964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B66FB"/>
    <w:multiLevelType w:val="hybridMultilevel"/>
    <w:tmpl w:val="DBC479EE"/>
    <w:lvl w:ilvl="0" w:tplc="30FCC1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CE4E0A"/>
    <w:multiLevelType w:val="hybridMultilevel"/>
    <w:tmpl w:val="21983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4A4F5E"/>
    <w:multiLevelType w:val="hybridMultilevel"/>
    <w:tmpl w:val="D37C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08A618">
      <w:numFmt w:val="bullet"/>
      <w:lvlText w:val="–"/>
      <w:lvlJc w:val="left"/>
      <w:pPr>
        <w:ind w:left="1080" w:hanging="360"/>
      </w:pPr>
      <w:rPr>
        <w:rFonts w:ascii="Arial Narrow" w:eastAsiaTheme="minorEastAsia" w:hAnsi="Arial Narrow" w:cs="HelveticaNeueLT Std C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4A501F"/>
    <w:multiLevelType w:val="hybridMultilevel"/>
    <w:tmpl w:val="0E74BC96"/>
    <w:lvl w:ilvl="0" w:tplc="30FCC1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11273"/>
    <w:multiLevelType w:val="hybridMultilevel"/>
    <w:tmpl w:val="D4D47658"/>
    <w:lvl w:ilvl="0" w:tplc="30FCC1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C1787"/>
    <w:multiLevelType w:val="hybridMultilevel"/>
    <w:tmpl w:val="B98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10FB6"/>
    <w:multiLevelType w:val="hybridMultilevel"/>
    <w:tmpl w:val="F33CE476"/>
    <w:lvl w:ilvl="0" w:tplc="0DE43754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65D025FE"/>
    <w:multiLevelType w:val="hybridMultilevel"/>
    <w:tmpl w:val="C4A47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141E9E"/>
    <w:multiLevelType w:val="hybridMultilevel"/>
    <w:tmpl w:val="FAF6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B20F5"/>
    <w:multiLevelType w:val="hybridMultilevel"/>
    <w:tmpl w:val="973C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0114CA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07C1D17"/>
    <w:multiLevelType w:val="hybridMultilevel"/>
    <w:tmpl w:val="55286378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D0E4F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40C3074"/>
    <w:multiLevelType w:val="hybridMultilevel"/>
    <w:tmpl w:val="FAD67B3A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87D4A"/>
    <w:multiLevelType w:val="hybridMultilevel"/>
    <w:tmpl w:val="86A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143D0"/>
    <w:multiLevelType w:val="hybridMultilevel"/>
    <w:tmpl w:val="A00C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452CB"/>
    <w:multiLevelType w:val="hybridMultilevel"/>
    <w:tmpl w:val="B85E913A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93E5D"/>
    <w:multiLevelType w:val="hybridMultilevel"/>
    <w:tmpl w:val="704ECBF8"/>
    <w:lvl w:ilvl="0" w:tplc="552C0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606A8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3"/>
  </w:num>
  <w:num w:numId="2">
    <w:abstractNumId w:val="37"/>
  </w:num>
  <w:num w:numId="3">
    <w:abstractNumId w:val="34"/>
  </w:num>
  <w:num w:numId="4">
    <w:abstractNumId w:val="28"/>
  </w:num>
  <w:num w:numId="5">
    <w:abstractNumId w:val="24"/>
  </w:num>
  <w:num w:numId="6">
    <w:abstractNumId w:val="44"/>
  </w:num>
  <w:num w:numId="7">
    <w:abstractNumId w:val="15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4"/>
  </w:num>
  <w:num w:numId="13">
    <w:abstractNumId w:val="41"/>
  </w:num>
  <w:num w:numId="14">
    <w:abstractNumId w:val="10"/>
  </w:num>
  <w:num w:numId="15">
    <w:abstractNumId w:val="36"/>
  </w:num>
  <w:num w:numId="16">
    <w:abstractNumId w:val="39"/>
  </w:num>
  <w:num w:numId="17">
    <w:abstractNumId w:val="14"/>
  </w:num>
  <w:num w:numId="18">
    <w:abstractNumId w:val="47"/>
  </w:num>
  <w:num w:numId="19">
    <w:abstractNumId w:val="27"/>
  </w:num>
  <w:num w:numId="20">
    <w:abstractNumId w:val="7"/>
  </w:num>
  <w:num w:numId="21">
    <w:abstractNumId w:val="19"/>
  </w:num>
  <w:num w:numId="22">
    <w:abstractNumId w:val="21"/>
  </w:num>
  <w:num w:numId="23">
    <w:abstractNumId w:val="46"/>
  </w:num>
  <w:num w:numId="24">
    <w:abstractNumId w:val="1"/>
  </w:num>
  <w:num w:numId="25">
    <w:abstractNumId w:val="6"/>
  </w:num>
  <w:num w:numId="26">
    <w:abstractNumId w:val="35"/>
  </w:num>
  <w:num w:numId="27">
    <w:abstractNumId w:val="22"/>
  </w:num>
  <w:num w:numId="28">
    <w:abstractNumId w:val="38"/>
  </w:num>
  <w:num w:numId="29">
    <w:abstractNumId w:val="42"/>
  </w:num>
  <w:num w:numId="30">
    <w:abstractNumId w:val="45"/>
  </w:num>
  <w:num w:numId="31">
    <w:abstractNumId w:val="40"/>
  </w:num>
  <w:num w:numId="32">
    <w:abstractNumId w:val="17"/>
  </w:num>
  <w:num w:numId="33">
    <w:abstractNumId w:val="31"/>
  </w:num>
  <w:num w:numId="34">
    <w:abstractNumId w:val="3"/>
  </w:num>
  <w:num w:numId="35">
    <w:abstractNumId w:val="18"/>
  </w:num>
  <w:num w:numId="36">
    <w:abstractNumId w:val="2"/>
  </w:num>
  <w:num w:numId="37">
    <w:abstractNumId w:val="11"/>
  </w:num>
  <w:num w:numId="38">
    <w:abstractNumId w:val="5"/>
  </w:num>
  <w:num w:numId="39">
    <w:abstractNumId w:val="33"/>
  </w:num>
  <w:num w:numId="40">
    <w:abstractNumId w:val="23"/>
  </w:num>
  <w:num w:numId="41">
    <w:abstractNumId w:val="8"/>
  </w:num>
  <w:num w:numId="42">
    <w:abstractNumId w:val="29"/>
  </w:num>
  <w:num w:numId="43">
    <w:abstractNumId w:val="13"/>
  </w:num>
  <w:num w:numId="44">
    <w:abstractNumId w:val="0"/>
  </w:num>
  <w:num w:numId="45">
    <w:abstractNumId w:val="25"/>
  </w:num>
  <w:num w:numId="46">
    <w:abstractNumId w:val="32"/>
  </w:num>
  <w:num w:numId="47">
    <w:abstractNumId w:val="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8"/>
    <w:rsid w:val="00020430"/>
    <w:rsid w:val="00021E59"/>
    <w:rsid w:val="00032781"/>
    <w:rsid w:val="0003629F"/>
    <w:rsid w:val="000426BD"/>
    <w:rsid w:val="0008491F"/>
    <w:rsid w:val="000B487C"/>
    <w:rsid w:val="000B5D4C"/>
    <w:rsid w:val="000C0956"/>
    <w:rsid w:val="000C4236"/>
    <w:rsid w:val="000C53E8"/>
    <w:rsid w:val="000E0BCB"/>
    <w:rsid w:val="000E33D3"/>
    <w:rsid w:val="000E5816"/>
    <w:rsid w:val="000E7716"/>
    <w:rsid w:val="00103B27"/>
    <w:rsid w:val="001151B9"/>
    <w:rsid w:val="001168B4"/>
    <w:rsid w:val="0012509D"/>
    <w:rsid w:val="001304FB"/>
    <w:rsid w:val="00133D74"/>
    <w:rsid w:val="0013730E"/>
    <w:rsid w:val="00154617"/>
    <w:rsid w:val="00165BB0"/>
    <w:rsid w:val="00175103"/>
    <w:rsid w:val="00180857"/>
    <w:rsid w:val="001943D4"/>
    <w:rsid w:val="001B1764"/>
    <w:rsid w:val="001C64BB"/>
    <w:rsid w:val="001E17B3"/>
    <w:rsid w:val="001E435E"/>
    <w:rsid w:val="001E76A6"/>
    <w:rsid w:val="001F3480"/>
    <w:rsid w:val="0020307B"/>
    <w:rsid w:val="00203728"/>
    <w:rsid w:val="00234009"/>
    <w:rsid w:val="00234AFC"/>
    <w:rsid w:val="00235B89"/>
    <w:rsid w:val="00243DAF"/>
    <w:rsid w:val="002479F4"/>
    <w:rsid w:val="00252C1C"/>
    <w:rsid w:val="0028381F"/>
    <w:rsid w:val="00287B19"/>
    <w:rsid w:val="00292B55"/>
    <w:rsid w:val="002A07FF"/>
    <w:rsid w:val="002A60C2"/>
    <w:rsid w:val="002B068C"/>
    <w:rsid w:val="002B27F8"/>
    <w:rsid w:val="002B45CA"/>
    <w:rsid w:val="002C0B85"/>
    <w:rsid w:val="002D5B09"/>
    <w:rsid w:val="002D77B8"/>
    <w:rsid w:val="002E2B60"/>
    <w:rsid w:val="002E398F"/>
    <w:rsid w:val="002F6652"/>
    <w:rsid w:val="00302218"/>
    <w:rsid w:val="00315CD6"/>
    <w:rsid w:val="00336600"/>
    <w:rsid w:val="00337646"/>
    <w:rsid w:val="003425D8"/>
    <w:rsid w:val="00345A6D"/>
    <w:rsid w:val="00345EC3"/>
    <w:rsid w:val="00353432"/>
    <w:rsid w:val="00355AC5"/>
    <w:rsid w:val="0037164C"/>
    <w:rsid w:val="00371E80"/>
    <w:rsid w:val="00390E6E"/>
    <w:rsid w:val="003C1374"/>
    <w:rsid w:val="003C330A"/>
    <w:rsid w:val="003C3A80"/>
    <w:rsid w:val="003C6466"/>
    <w:rsid w:val="003C6E63"/>
    <w:rsid w:val="003D3805"/>
    <w:rsid w:val="003D52B4"/>
    <w:rsid w:val="003D6F77"/>
    <w:rsid w:val="00403CB4"/>
    <w:rsid w:val="0040634C"/>
    <w:rsid w:val="0042217E"/>
    <w:rsid w:val="00425989"/>
    <w:rsid w:val="00452D0B"/>
    <w:rsid w:val="00455B5F"/>
    <w:rsid w:val="00495F48"/>
    <w:rsid w:val="004B3DC5"/>
    <w:rsid w:val="004C5B3F"/>
    <w:rsid w:val="004D04F4"/>
    <w:rsid w:val="004D56EE"/>
    <w:rsid w:val="004E6F9F"/>
    <w:rsid w:val="004F2CB6"/>
    <w:rsid w:val="004F4503"/>
    <w:rsid w:val="004F6983"/>
    <w:rsid w:val="00512391"/>
    <w:rsid w:val="00515723"/>
    <w:rsid w:val="005208D3"/>
    <w:rsid w:val="0052188A"/>
    <w:rsid w:val="005319C0"/>
    <w:rsid w:val="0054485C"/>
    <w:rsid w:val="00546F23"/>
    <w:rsid w:val="00564F9D"/>
    <w:rsid w:val="00565CA1"/>
    <w:rsid w:val="00570274"/>
    <w:rsid w:val="00575AEA"/>
    <w:rsid w:val="00576CBD"/>
    <w:rsid w:val="00581C94"/>
    <w:rsid w:val="0058612B"/>
    <w:rsid w:val="005B2CB1"/>
    <w:rsid w:val="005B38B3"/>
    <w:rsid w:val="005C1EFC"/>
    <w:rsid w:val="005D6A33"/>
    <w:rsid w:val="005E1781"/>
    <w:rsid w:val="005E523D"/>
    <w:rsid w:val="005F3B0E"/>
    <w:rsid w:val="006008C8"/>
    <w:rsid w:val="00601493"/>
    <w:rsid w:val="00611809"/>
    <w:rsid w:val="00621251"/>
    <w:rsid w:val="0062750C"/>
    <w:rsid w:val="00640071"/>
    <w:rsid w:val="0064048A"/>
    <w:rsid w:val="00643392"/>
    <w:rsid w:val="006461EF"/>
    <w:rsid w:val="00653826"/>
    <w:rsid w:val="006542FF"/>
    <w:rsid w:val="00655C3C"/>
    <w:rsid w:val="00656FD2"/>
    <w:rsid w:val="00661690"/>
    <w:rsid w:val="0066745D"/>
    <w:rsid w:val="00681B62"/>
    <w:rsid w:val="006B227E"/>
    <w:rsid w:val="006B453E"/>
    <w:rsid w:val="006F0734"/>
    <w:rsid w:val="006F3A98"/>
    <w:rsid w:val="006F5A11"/>
    <w:rsid w:val="00704D77"/>
    <w:rsid w:val="0070604B"/>
    <w:rsid w:val="00712284"/>
    <w:rsid w:val="0072140F"/>
    <w:rsid w:val="00725151"/>
    <w:rsid w:val="007269A0"/>
    <w:rsid w:val="007313A5"/>
    <w:rsid w:val="00744154"/>
    <w:rsid w:val="0075371E"/>
    <w:rsid w:val="0077335E"/>
    <w:rsid w:val="00780236"/>
    <w:rsid w:val="00795874"/>
    <w:rsid w:val="007C4CF5"/>
    <w:rsid w:val="007C4F6B"/>
    <w:rsid w:val="007C6740"/>
    <w:rsid w:val="007F0D60"/>
    <w:rsid w:val="008175C3"/>
    <w:rsid w:val="00822A3E"/>
    <w:rsid w:val="008264DE"/>
    <w:rsid w:val="00827522"/>
    <w:rsid w:val="00836C10"/>
    <w:rsid w:val="008415E4"/>
    <w:rsid w:val="00841C2B"/>
    <w:rsid w:val="008508AD"/>
    <w:rsid w:val="00856634"/>
    <w:rsid w:val="00865452"/>
    <w:rsid w:val="00866A87"/>
    <w:rsid w:val="008718B1"/>
    <w:rsid w:val="008759D0"/>
    <w:rsid w:val="008951FB"/>
    <w:rsid w:val="008A7BA0"/>
    <w:rsid w:val="008B504A"/>
    <w:rsid w:val="008B6207"/>
    <w:rsid w:val="008D7B6A"/>
    <w:rsid w:val="008E126C"/>
    <w:rsid w:val="008E4208"/>
    <w:rsid w:val="008E5A8D"/>
    <w:rsid w:val="008F204E"/>
    <w:rsid w:val="008F7B61"/>
    <w:rsid w:val="00907D17"/>
    <w:rsid w:val="00917573"/>
    <w:rsid w:val="00927F14"/>
    <w:rsid w:val="00940AC3"/>
    <w:rsid w:val="00945E32"/>
    <w:rsid w:val="009528C3"/>
    <w:rsid w:val="00952A8B"/>
    <w:rsid w:val="00964718"/>
    <w:rsid w:val="00977CA2"/>
    <w:rsid w:val="0098016B"/>
    <w:rsid w:val="00980AC3"/>
    <w:rsid w:val="00986D8D"/>
    <w:rsid w:val="0099453E"/>
    <w:rsid w:val="009B0C10"/>
    <w:rsid w:val="009C4036"/>
    <w:rsid w:val="009D2720"/>
    <w:rsid w:val="009D3E46"/>
    <w:rsid w:val="009F3FAC"/>
    <w:rsid w:val="009F4689"/>
    <w:rsid w:val="00A0264B"/>
    <w:rsid w:val="00A160D3"/>
    <w:rsid w:val="00A16B43"/>
    <w:rsid w:val="00A20075"/>
    <w:rsid w:val="00A22EED"/>
    <w:rsid w:val="00A25742"/>
    <w:rsid w:val="00A333C1"/>
    <w:rsid w:val="00A34BF9"/>
    <w:rsid w:val="00A378F3"/>
    <w:rsid w:val="00A45EE0"/>
    <w:rsid w:val="00A55BC6"/>
    <w:rsid w:val="00A6105B"/>
    <w:rsid w:val="00A6381C"/>
    <w:rsid w:val="00A82660"/>
    <w:rsid w:val="00A923C6"/>
    <w:rsid w:val="00A93CBD"/>
    <w:rsid w:val="00AB7280"/>
    <w:rsid w:val="00AC5119"/>
    <w:rsid w:val="00AD0E10"/>
    <w:rsid w:val="00AF1267"/>
    <w:rsid w:val="00B0302D"/>
    <w:rsid w:val="00B0353A"/>
    <w:rsid w:val="00B20685"/>
    <w:rsid w:val="00B30AD7"/>
    <w:rsid w:val="00B310CC"/>
    <w:rsid w:val="00B57893"/>
    <w:rsid w:val="00B636B9"/>
    <w:rsid w:val="00B71BE7"/>
    <w:rsid w:val="00B753CF"/>
    <w:rsid w:val="00B80736"/>
    <w:rsid w:val="00B83761"/>
    <w:rsid w:val="00B86A32"/>
    <w:rsid w:val="00B86CEA"/>
    <w:rsid w:val="00B905C9"/>
    <w:rsid w:val="00B93885"/>
    <w:rsid w:val="00B949C2"/>
    <w:rsid w:val="00B94AB3"/>
    <w:rsid w:val="00B95C33"/>
    <w:rsid w:val="00B96EC0"/>
    <w:rsid w:val="00BB115C"/>
    <w:rsid w:val="00BB4DED"/>
    <w:rsid w:val="00BC1E88"/>
    <w:rsid w:val="00BD35C4"/>
    <w:rsid w:val="00C02026"/>
    <w:rsid w:val="00C1024F"/>
    <w:rsid w:val="00C10EFE"/>
    <w:rsid w:val="00C25564"/>
    <w:rsid w:val="00C31733"/>
    <w:rsid w:val="00C3361D"/>
    <w:rsid w:val="00C37D19"/>
    <w:rsid w:val="00C43CAA"/>
    <w:rsid w:val="00C5366B"/>
    <w:rsid w:val="00C731A0"/>
    <w:rsid w:val="00C92298"/>
    <w:rsid w:val="00C9754A"/>
    <w:rsid w:val="00CA5FE6"/>
    <w:rsid w:val="00CA6EFB"/>
    <w:rsid w:val="00CC5A47"/>
    <w:rsid w:val="00CD32D1"/>
    <w:rsid w:val="00CD72E0"/>
    <w:rsid w:val="00CF2E9C"/>
    <w:rsid w:val="00CF5B72"/>
    <w:rsid w:val="00D039AF"/>
    <w:rsid w:val="00D1125F"/>
    <w:rsid w:val="00D20F8E"/>
    <w:rsid w:val="00D37823"/>
    <w:rsid w:val="00D43409"/>
    <w:rsid w:val="00D53E3D"/>
    <w:rsid w:val="00D70AFF"/>
    <w:rsid w:val="00D72ADE"/>
    <w:rsid w:val="00D91E7E"/>
    <w:rsid w:val="00D9229A"/>
    <w:rsid w:val="00D937C0"/>
    <w:rsid w:val="00D93A90"/>
    <w:rsid w:val="00D95324"/>
    <w:rsid w:val="00DA5033"/>
    <w:rsid w:val="00DE321E"/>
    <w:rsid w:val="00DF28A5"/>
    <w:rsid w:val="00DF368B"/>
    <w:rsid w:val="00E15BC8"/>
    <w:rsid w:val="00E20939"/>
    <w:rsid w:val="00E244D0"/>
    <w:rsid w:val="00E360A3"/>
    <w:rsid w:val="00E60BD7"/>
    <w:rsid w:val="00E70FEE"/>
    <w:rsid w:val="00E84742"/>
    <w:rsid w:val="00E86B83"/>
    <w:rsid w:val="00E92469"/>
    <w:rsid w:val="00E93A00"/>
    <w:rsid w:val="00E9709C"/>
    <w:rsid w:val="00EA0F4D"/>
    <w:rsid w:val="00EA1519"/>
    <w:rsid w:val="00EC59ED"/>
    <w:rsid w:val="00ED4AD1"/>
    <w:rsid w:val="00EF2172"/>
    <w:rsid w:val="00F00BD7"/>
    <w:rsid w:val="00F01DE6"/>
    <w:rsid w:val="00F02DEE"/>
    <w:rsid w:val="00F07679"/>
    <w:rsid w:val="00F10B3A"/>
    <w:rsid w:val="00F12E3D"/>
    <w:rsid w:val="00F31694"/>
    <w:rsid w:val="00F5270D"/>
    <w:rsid w:val="00F612BD"/>
    <w:rsid w:val="00F6409C"/>
    <w:rsid w:val="00F84F26"/>
    <w:rsid w:val="00F912F1"/>
    <w:rsid w:val="00F92B2D"/>
    <w:rsid w:val="00F95D13"/>
    <w:rsid w:val="00FA1BDC"/>
    <w:rsid w:val="00FD1A1E"/>
    <w:rsid w:val="00FE344A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AC94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A82660"/>
    <w:pPr>
      <w:autoSpaceDE w:val="0"/>
      <w:autoSpaceDN w:val="0"/>
      <w:adjustRightInd w:val="0"/>
      <w:spacing w:after="0" w:line="241" w:lineRule="atLeast"/>
    </w:pPr>
    <w:rPr>
      <w:rFonts w:ascii="HelveticaNeueLT Std Cn" w:eastAsiaTheme="minorEastAsia" w:hAnsi="HelveticaNeueLT Std Cn"/>
      <w:sz w:val="24"/>
      <w:szCs w:val="24"/>
    </w:rPr>
  </w:style>
  <w:style w:type="character" w:customStyle="1" w:styleId="A1">
    <w:name w:val="A1"/>
    <w:uiPriority w:val="99"/>
    <w:rsid w:val="00A82660"/>
    <w:rPr>
      <w:rFonts w:cs="HelveticaNeueLT Std Cn"/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A82660"/>
    <w:pPr>
      <w:autoSpaceDE w:val="0"/>
      <w:autoSpaceDN w:val="0"/>
      <w:adjustRightInd w:val="0"/>
      <w:spacing w:after="0" w:line="241" w:lineRule="atLeast"/>
    </w:pPr>
    <w:rPr>
      <w:rFonts w:ascii="HelveticaNeueLT Std Cn" w:eastAsiaTheme="minorEastAsia" w:hAnsi="HelveticaNeueLT Std Cn"/>
      <w:sz w:val="24"/>
      <w:szCs w:val="24"/>
    </w:rPr>
  </w:style>
  <w:style w:type="character" w:customStyle="1" w:styleId="A6">
    <w:name w:val="A6"/>
    <w:uiPriority w:val="99"/>
    <w:rsid w:val="00A82660"/>
    <w:rPr>
      <w:rFonts w:cs="HelveticaNeueLT Std Cn"/>
      <w:color w:val="000000"/>
      <w:sz w:val="21"/>
      <w:szCs w:val="21"/>
    </w:rPr>
  </w:style>
  <w:style w:type="character" w:customStyle="1" w:styleId="A7">
    <w:name w:val="A7"/>
    <w:uiPriority w:val="99"/>
    <w:rsid w:val="00A82660"/>
    <w:rPr>
      <w:rFonts w:ascii="ZapfDingbats" w:hAnsi="ZapfDingbats" w:cs="ZapfDingbats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F0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D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78F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5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Hovland, Kate</cp:lastModifiedBy>
  <cp:revision>3</cp:revision>
  <cp:lastPrinted>2017-08-09T18:42:00Z</cp:lastPrinted>
  <dcterms:created xsi:type="dcterms:W3CDTF">2020-11-02T17:53:00Z</dcterms:created>
  <dcterms:modified xsi:type="dcterms:W3CDTF">2020-11-02T17:55:00Z</dcterms:modified>
</cp:coreProperties>
</file>