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6FD7" w:rsidRPr="00DC3A72" w14:paraId="61681B52" w14:textId="77777777" w:rsidTr="00BD1B61">
        <w:tc>
          <w:tcPr>
            <w:tcW w:w="9350" w:type="dxa"/>
          </w:tcPr>
          <w:p w14:paraId="72BD40B4" w14:textId="16B58200" w:rsidR="00456FD7" w:rsidRPr="00DC3A72" w:rsidRDefault="0086789C">
            <w:pPr>
              <w:rPr>
                <w:rFonts w:cstheme="minorHAnsi"/>
              </w:rPr>
            </w:pPr>
            <w:bookmarkStart w:id="0" w:name="_Hlk48653232"/>
            <w:r>
              <w:rPr>
                <w:rFonts w:cstheme="minorHAnsi"/>
                <w:noProof/>
              </w:rPr>
              <w:drawing>
                <wp:inline distT="0" distB="0" distL="0" distR="0" wp14:anchorId="4D1DC1CC" wp14:editId="575C894B">
                  <wp:extent cx="5943600" cy="1393190"/>
                  <wp:effectExtent l="0" t="0" r="0" b="0"/>
                  <wp:docPr id="1" name="Picture 1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D7" w:rsidRPr="00DC3A72" w14:paraId="2C7AC143" w14:textId="77777777" w:rsidTr="00BD1B61">
        <w:tc>
          <w:tcPr>
            <w:tcW w:w="9350" w:type="dxa"/>
          </w:tcPr>
          <w:p w14:paraId="71ED0236" w14:textId="77777777" w:rsidR="00456FD7" w:rsidRPr="00DC3A72" w:rsidRDefault="00456FD7">
            <w:pPr>
              <w:rPr>
                <w:rFonts w:cstheme="minorHAnsi"/>
              </w:rPr>
            </w:pPr>
          </w:p>
        </w:tc>
      </w:tr>
      <w:tr w:rsidR="00456FD7" w:rsidRPr="00DC3A72" w14:paraId="6215AAA9" w14:textId="77777777" w:rsidTr="00BD1B61">
        <w:tc>
          <w:tcPr>
            <w:tcW w:w="9350" w:type="dxa"/>
          </w:tcPr>
          <w:p w14:paraId="7C54F3B0" w14:textId="171BC356" w:rsidR="00456FD7" w:rsidRPr="0086789C" w:rsidRDefault="00627A0E">
            <w:pPr>
              <w:rPr>
                <w:rFonts w:cstheme="minorHAnsi"/>
                <w:sz w:val="33"/>
                <w:szCs w:val="33"/>
              </w:rPr>
            </w:pPr>
            <w:r w:rsidRPr="0086789C">
              <w:rPr>
                <w:rFonts w:eastAsia="Times New Roman" w:cstheme="minorHAnsi"/>
                <w:sz w:val="33"/>
                <w:szCs w:val="33"/>
              </w:rPr>
              <w:t>Support when and where you need it</w:t>
            </w:r>
          </w:p>
        </w:tc>
      </w:tr>
      <w:tr w:rsidR="00DC3A72" w:rsidRPr="00DC3A72" w14:paraId="620B6D74" w14:textId="77777777" w:rsidTr="00BD1B61">
        <w:tc>
          <w:tcPr>
            <w:tcW w:w="9350" w:type="dxa"/>
          </w:tcPr>
          <w:p w14:paraId="630215CE" w14:textId="77777777" w:rsidR="00DC3A72" w:rsidRPr="00651F1D" w:rsidRDefault="00DC3A7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56FD7" w:rsidRPr="00DC3A72" w14:paraId="7C098CBD" w14:textId="77777777" w:rsidTr="00BD1B61">
        <w:tc>
          <w:tcPr>
            <w:tcW w:w="9350" w:type="dxa"/>
          </w:tcPr>
          <w:p w14:paraId="63BDCAD9" w14:textId="77777777" w:rsidR="009D6F14" w:rsidRDefault="00627A0E" w:rsidP="00627A0E">
            <w:pPr>
              <w:rPr>
                <w:rFonts w:eastAsia="Times New Roman" w:cstheme="minorHAnsi"/>
                <w:sz w:val="21"/>
                <w:szCs w:val="21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>202</w:t>
            </w:r>
            <w:r w:rsidR="00567386">
              <w:rPr>
                <w:rFonts w:eastAsia="Times New Roman" w:cstheme="minorHAnsi"/>
                <w:sz w:val="21"/>
                <w:szCs w:val="21"/>
              </w:rPr>
              <w:t>1</w:t>
            </w:r>
            <w:r w:rsidRPr="00651F1D">
              <w:rPr>
                <w:rFonts w:eastAsia="Times New Roman" w:cstheme="minorHAnsi"/>
                <w:sz w:val="21"/>
                <w:szCs w:val="21"/>
              </w:rPr>
              <w:t xml:space="preserve"> has been a year </w:t>
            </w:r>
            <w:r w:rsidR="00567386">
              <w:rPr>
                <w:rFonts w:eastAsia="Times New Roman" w:cstheme="minorHAnsi"/>
                <w:sz w:val="21"/>
                <w:szCs w:val="21"/>
              </w:rPr>
              <w:t>filled with changes, and, in many cases, unknowns</w:t>
            </w:r>
            <w:r w:rsidRPr="00651F1D">
              <w:rPr>
                <w:rFonts w:eastAsia="Times New Roman" w:cstheme="minorHAnsi"/>
                <w:sz w:val="21"/>
                <w:szCs w:val="21"/>
              </w:rPr>
              <w:t>. As we head into open enrollment, we know that the health and wellbeing of you and your family is likely on your min</w:t>
            </w:r>
            <w:r w:rsidR="00567386">
              <w:rPr>
                <w:rFonts w:eastAsia="Times New Roman" w:cstheme="minorHAnsi"/>
                <w:sz w:val="21"/>
                <w:szCs w:val="21"/>
              </w:rPr>
              <w:t xml:space="preserve">d, and you may have questions about how best to prepare for potential health care costs. </w:t>
            </w:r>
          </w:p>
          <w:p w14:paraId="10ECF700" w14:textId="77777777" w:rsidR="009D6F14" w:rsidRDefault="009D6F14" w:rsidP="00627A0E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440FBD2" w14:textId="13FB7951" w:rsidR="00456FD7" w:rsidRPr="00651F1D" w:rsidRDefault="0086789C" w:rsidP="00627A0E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With our partners at Further, w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e've put together easy resources to help make open enrollment one less thing to worry about. </w:t>
            </w:r>
          </w:p>
        </w:tc>
      </w:tr>
      <w:tr w:rsidR="00DC3A72" w:rsidRPr="00DC3A72" w14:paraId="56AE1938" w14:textId="77777777" w:rsidTr="00BD1B61">
        <w:tc>
          <w:tcPr>
            <w:tcW w:w="9350" w:type="dxa"/>
          </w:tcPr>
          <w:p w14:paraId="0ABED996" w14:textId="77777777" w:rsidR="00DC3A72" w:rsidRPr="00651F1D" w:rsidRDefault="00DC3A7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6FD7" w:rsidRPr="00DC3A72" w14:paraId="592CECA6" w14:textId="77777777" w:rsidTr="00BD1B61">
        <w:tc>
          <w:tcPr>
            <w:tcW w:w="9350" w:type="dxa"/>
          </w:tcPr>
          <w:p w14:paraId="3628E02D" w14:textId="11FBD428" w:rsidR="00456FD7" w:rsidRPr="00651F1D" w:rsidRDefault="0086789C" w:rsidP="00627A0E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W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>e're reimagining how health savings accounts (HSAs) can be leveraged to pay for today's health care costs.</w:t>
            </w:r>
            <w:r w:rsidR="009D6F14">
              <w:rPr>
                <w:rFonts w:eastAsia="Times New Roman" w:cstheme="minorHAnsi"/>
                <w:sz w:val="21"/>
                <w:szCs w:val="21"/>
              </w:rPr>
              <w:t xml:space="preserve"> While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 HSAs were originally positioned as long-term savings vehicles</w:t>
            </w:r>
            <w:r w:rsidR="009D6F14">
              <w:rPr>
                <w:rFonts w:eastAsia="Times New Roman" w:cstheme="minorHAnsi"/>
                <w:sz w:val="21"/>
                <w:szCs w:val="21"/>
              </w:rPr>
              <w:t>, we know</w:t>
            </w:r>
            <w:r w:rsidR="00F47F21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>a pivotal shift has taken place</w:t>
            </w:r>
            <w:r w:rsidR="009D6F14">
              <w:rPr>
                <w:rFonts w:eastAsia="Times New Roman" w:cstheme="minorHAnsi"/>
                <w:sz w:val="21"/>
                <w:szCs w:val="21"/>
              </w:rPr>
              <w:t>.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</w:rPr>
              <w:t>A</w:t>
            </w:r>
            <w:r w:rsidR="00D40223">
              <w:rPr>
                <w:rFonts w:eastAsia="Times New Roman" w:cstheme="minorHAnsi"/>
                <w:sz w:val="21"/>
                <w:szCs w:val="21"/>
              </w:rPr>
              <w:t xml:space="preserve">s the pandemic </w:t>
            </w:r>
            <w:proofErr w:type="gramStart"/>
            <w:r w:rsidR="00D40223">
              <w:rPr>
                <w:rFonts w:eastAsia="Times New Roman" w:cstheme="minorHAnsi"/>
                <w:sz w:val="21"/>
                <w:szCs w:val="21"/>
              </w:rPr>
              <w:t>continues on</w:t>
            </w:r>
            <w:proofErr w:type="gramEnd"/>
            <w:r w:rsidR="00D40223">
              <w:rPr>
                <w:rFonts w:eastAsia="Times New Roman" w:cstheme="minorHAnsi"/>
                <w:sz w:val="21"/>
                <w:szCs w:val="21"/>
              </w:rPr>
              <w:t xml:space="preserve">, 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consumers </w:t>
            </w:r>
            <w:r w:rsidR="00D40223">
              <w:rPr>
                <w:rFonts w:eastAsia="Times New Roman" w:cstheme="minorHAnsi"/>
                <w:sz w:val="21"/>
                <w:szCs w:val="21"/>
              </w:rPr>
              <w:t>continue to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 leverag</w:t>
            </w:r>
            <w:r w:rsidR="00D40223">
              <w:rPr>
                <w:rFonts w:eastAsia="Times New Roman" w:cstheme="minorHAnsi"/>
                <w:sz w:val="21"/>
                <w:szCs w:val="21"/>
              </w:rPr>
              <w:t>e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D40223">
              <w:rPr>
                <w:rFonts w:eastAsia="Times New Roman" w:cstheme="minorHAnsi"/>
                <w:sz w:val="21"/>
                <w:szCs w:val="21"/>
              </w:rPr>
              <w:t xml:space="preserve">their </w:t>
            </w:r>
            <w:r w:rsidR="009D6F14">
              <w:rPr>
                <w:rFonts w:eastAsia="Times New Roman" w:cstheme="minorHAnsi"/>
                <w:sz w:val="21"/>
                <w:szCs w:val="21"/>
              </w:rPr>
              <w:t>HSA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s to pay for today's health care costs with pre-tax dollars, resulting in </w:t>
            </w:r>
            <w:r w:rsidR="009D6F14" w:rsidRPr="00651F1D">
              <w:rPr>
                <w:rFonts w:eastAsia="Times New Roman" w:cstheme="minorHAnsi"/>
                <w:sz w:val="21"/>
                <w:szCs w:val="21"/>
              </w:rPr>
              <w:t>out-of-pocket</w:t>
            </w:r>
            <w:r w:rsidR="00627A0E" w:rsidRPr="00651F1D">
              <w:rPr>
                <w:rFonts w:eastAsia="Times New Roman" w:cstheme="minorHAnsi"/>
                <w:sz w:val="21"/>
                <w:szCs w:val="21"/>
              </w:rPr>
              <w:t xml:space="preserve"> savings. In fact:</w:t>
            </w:r>
          </w:p>
        </w:tc>
      </w:tr>
      <w:tr w:rsidR="00DC3A72" w:rsidRPr="00DC3A72" w14:paraId="5FD616D0" w14:textId="77777777" w:rsidTr="00BD1B61">
        <w:tc>
          <w:tcPr>
            <w:tcW w:w="9350" w:type="dxa"/>
          </w:tcPr>
          <w:p w14:paraId="5B5ED31E" w14:textId="77777777" w:rsidR="00DC3A72" w:rsidRPr="00651F1D" w:rsidRDefault="00DC3A72" w:rsidP="00456FD7">
            <w:pPr>
              <w:jc w:val="center"/>
              <w:rPr>
                <w:rFonts w:eastAsia="Times New Roman" w:cstheme="minorHAnsi"/>
                <w:noProof/>
                <w:sz w:val="20"/>
                <w:szCs w:val="20"/>
                <w:shd w:val="clear" w:color="auto" w:fill="FFFFFF"/>
              </w:rPr>
            </w:pPr>
          </w:p>
        </w:tc>
      </w:tr>
      <w:tr w:rsidR="00456FD7" w:rsidRPr="00DC3A72" w14:paraId="099B5551" w14:textId="77777777" w:rsidTr="00BD1B61">
        <w:tc>
          <w:tcPr>
            <w:tcW w:w="9350" w:type="dxa"/>
          </w:tcPr>
          <w:p w14:paraId="0CD4234A" w14:textId="73136874" w:rsidR="00627A0E" w:rsidRPr="00651F1D" w:rsidRDefault="00627A0E" w:rsidP="00627A0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 xml:space="preserve">65 percent of HSA owners use their accounts </w:t>
            </w:r>
            <w:r w:rsidR="00D40223">
              <w:rPr>
                <w:rFonts w:eastAsia="Times New Roman" w:cstheme="minorHAnsi"/>
                <w:sz w:val="21"/>
                <w:szCs w:val="21"/>
              </w:rPr>
              <w:t>to</w:t>
            </w:r>
            <w:r w:rsidR="00D40223" w:rsidRPr="00651F1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651F1D">
              <w:rPr>
                <w:rFonts w:eastAsia="Times New Roman" w:cstheme="minorHAnsi"/>
                <w:sz w:val="21"/>
                <w:szCs w:val="21"/>
              </w:rPr>
              <w:t xml:space="preserve">pay for health care </w:t>
            </w:r>
            <w:r w:rsidR="00D40223">
              <w:rPr>
                <w:rFonts w:eastAsia="Times New Roman" w:cstheme="minorHAnsi"/>
                <w:sz w:val="21"/>
                <w:szCs w:val="21"/>
              </w:rPr>
              <w:t xml:space="preserve">needs as they arise, according to a </w:t>
            </w:r>
            <w:hyperlink r:id="rId9" w:history="1">
              <w:r w:rsidR="00D40223" w:rsidRPr="00890AFD">
                <w:rPr>
                  <w:rStyle w:val="Hyperlink"/>
                  <w:rFonts w:asciiTheme="minorHAnsi" w:eastAsia="Times New Roman" w:hAnsiTheme="minorHAnsi" w:cstheme="minorHAnsi"/>
                  <w:sz w:val="21"/>
                  <w:szCs w:val="21"/>
                </w:rPr>
                <w:t>Further study</w:t>
              </w:r>
            </w:hyperlink>
          </w:p>
          <w:p w14:paraId="415A72AC" w14:textId="77777777" w:rsidR="00627A0E" w:rsidRPr="00651F1D" w:rsidRDefault="00627A0E" w:rsidP="00627A0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>HSAs are an easy way to put pre-tax dollars towards health care costs, including procedures, prescriptions, bandages, cold and flu medicine, and much more</w:t>
            </w:r>
          </w:p>
          <w:p w14:paraId="45EE1171" w14:textId="77777777" w:rsidR="00627A0E" w:rsidRPr="00651F1D" w:rsidRDefault="00627A0E" w:rsidP="00627A0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>HSA contributions do not expire at the end of the year and the account is yours for life</w:t>
            </w:r>
          </w:p>
          <w:p w14:paraId="52D32766" w14:textId="591FF789" w:rsidR="00456FD7" w:rsidRPr="00651F1D" w:rsidRDefault="00627A0E" w:rsidP="00627A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>HSAs cover all preventative care benefits, such as annual physicals</w:t>
            </w:r>
          </w:p>
        </w:tc>
      </w:tr>
      <w:tr w:rsidR="00B6465F" w:rsidRPr="00B6465F" w14:paraId="21B5B8E0" w14:textId="77777777" w:rsidTr="00BD1B61">
        <w:tc>
          <w:tcPr>
            <w:tcW w:w="9350" w:type="dxa"/>
          </w:tcPr>
          <w:p w14:paraId="4430DDB1" w14:textId="77777777" w:rsidR="00B6465F" w:rsidRPr="00651F1D" w:rsidRDefault="00B64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FD7" w:rsidRPr="00DC3A72" w14:paraId="1152AD26" w14:textId="77777777" w:rsidTr="00BD1B61">
        <w:tc>
          <w:tcPr>
            <w:tcW w:w="9350" w:type="dxa"/>
          </w:tcPr>
          <w:p w14:paraId="6135FCB7" w14:textId="69C5B96E" w:rsidR="00456FD7" w:rsidRDefault="00627A0E">
            <w:pPr>
              <w:rPr>
                <w:rFonts w:eastAsia="Times New Roman" w:cstheme="minorHAnsi"/>
                <w:sz w:val="21"/>
                <w:szCs w:val="21"/>
              </w:rPr>
            </w:pPr>
            <w:r w:rsidRPr="00651F1D">
              <w:rPr>
                <w:rFonts w:eastAsia="Times New Roman" w:cstheme="minorHAnsi"/>
                <w:sz w:val="21"/>
                <w:szCs w:val="21"/>
              </w:rPr>
              <w:t xml:space="preserve">As you find the right benefits for you, and your family, this open enrollment, </w:t>
            </w:r>
            <w:proofErr w:type="gramStart"/>
            <w:r w:rsidRPr="00651F1D">
              <w:rPr>
                <w:rFonts w:eastAsia="Times New Roman" w:cstheme="minorHAnsi"/>
                <w:sz w:val="21"/>
                <w:szCs w:val="21"/>
              </w:rPr>
              <w:t>Further</w:t>
            </w:r>
            <w:proofErr w:type="gramEnd"/>
            <w:r w:rsidRPr="00651F1D">
              <w:rPr>
                <w:rFonts w:eastAsia="Times New Roman" w:cstheme="minorHAnsi"/>
                <w:sz w:val="21"/>
                <w:szCs w:val="21"/>
              </w:rPr>
              <w:t xml:space="preserve"> has a variety of tools to help you take a deep dive into the benefits of HSAs and how they can support your individual health and investment journey.</w:t>
            </w:r>
            <w:r w:rsidR="00A4028A">
              <w:rPr>
                <w:rFonts w:eastAsia="Times New Roman" w:cstheme="minorHAnsi"/>
                <w:sz w:val="21"/>
                <w:szCs w:val="21"/>
              </w:rPr>
              <w:t xml:space="preserve"> Check out the </w:t>
            </w:r>
            <w:hyperlink r:id="rId10" w:history="1">
              <w:r w:rsidR="00A4028A" w:rsidRPr="00A4028A">
                <w:rPr>
                  <w:rStyle w:val="Hyperlink"/>
                  <w:rFonts w:asciiTheme="minorHAnsi" w:eastAsia="Times New Roman" w:hAnsiTheme="minorHAnsi" w:cstheme="minorHAnsi"/>
                  <w:sz w:val="21"/>
                  <w:szCs w:val="21"/>
                </w:rPr>
                <w:t>Further learning center</w:t>
              </w:r>
            </w:hyperlink>
            <w:r w:rsidR="00A4028A">
              <w:rPr>
                <w:rFonts w:eastAsia="Times New Roman" w:cstheme="minorHAnsi"/>
                <w:sz w:val="21"/>
                <w:szCs w:val="21"/>
              </w:rPr>
              <w:t xml:space="preserve"> for more information.</w:t>
            </w:r>
          </w:p>
          <w:p w14:paraId="7508DAE9" w14:textId="77777777" w:rsidR="0089209F" w:rsidRDefault="0089209F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003F4C48" w14:textId="60AC5E5B" w:rsidR="0089209F" w:rsidRDefault="0089209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In addition, you can sign up for our “</w:t>
            </w:r>
            <w:hyperlink r:id="rId11" w:history="1">
              <w:r w:rsidRPr="00890AFD">
                <w:rPr>
                  <w:rStyle w:val="Hyperlink"/>
                  <w:rFonts w:asciiTheme="minorHAnsi" w:eastAsia="Times New Roman" w:hAnsiTheme="minorHAnsi" w:cstheme="minorHAnsi"/>
                  <w:sz w:val="21"/>
                  <w:szCs w:val="21"/>
                </w:rPr>
                <w:t>6 Smart Ways to Maximize HSAs</w:t>
              </w:r>
            </w:hyperlink>
            <w:r>
              <w:rPr>
                <w:rFonts w:eastAsia="Times New Roman" w:cstheme="minorHAnsi"/>
                <w:sz w:val="21"/>
                <w:szCs w:val="21"/>
              </w:rPr>
              <w:t>” email series. Get an email in your inbox each week with helpful tips for making HSA contributions as well as expenses.</w:t>
            </w:r>
          </w:p>
          <w:p w14:paraId="455CB9DA" w14:textId="3614369B" w:rsidR="0086789C" w:rsidRPr="0086789C" w:rsidRDefault="0086789C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DC3A72" w:rsidRPr="00DC3A72" w14:paraId="6D467C73" w14:textId="77777777" w:rsidTr="00BD1B61">
        <w:tc>
          <w:tcPr>
            <w:tcW w:w="9350" w:type="dxa"/>
          </w:tcPr>
          <w:p w14:paraId="6BC4859B" w14:textId="77777777" w:rsidR="00DC3A72" w:rsidRPr="00651F1D" w:rsidRDefault="00DC3A7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56FD7" w:rsidRPr="00DC3A72" w14:paraId="584702E6" w14:textId="77777777" w:rsidTr="00BD1B61">
        <w:tc>
          <w:tcPr>
            <w:tcW w:w="9350" w:type="dxa"/>
          </w:tcPr>
          <w:p w14:paraId="65891DBF" w14:textId="0506B0B1" w:rsidR="00456FD7" w:rsidRPr="00651F1D" w:rsidRDefault="00456FD7" w:rsidP="00DC3A72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45273A" w:rsidRPr="00DC3A72" w14:paraId="7BFD46DC" w14:textId="77777777" w:rsidTr="00BD1B61">
        <w:tc>
          <w:tcPr>
            <w:tcW w:w="9350" w:type="dxa"/>
          </w:tcPr>
          <w:p w14:paraId="267F4816" w14:textId="77777777" w:rsidR="0045273A" w:rsidRPr="00DC3A72" w:rsidRDefault="0045273A" w:rsidP="00DC3A72">
            <w:pPr>
              <w:rPr>
                <w:rFonts w:cstheme="minorHAnsi"/>
              </w:rPr>
            </w:pPr>
          </w:p>
        </w:tc>
      </w:tr>
      <w:bookmarkEnd w:id="0"/>
    </w:tbl>
    <w:p w14:paraId="6EB70003" w14:textId="77777777" w:rsidR="00D012AC" w:rsidRPr="00DC3A72" w:rsidRDefault="009D6D51">
      <w:pPr>
        <w:rPr>
          <w:rFonts w:cstheme="minorHAnsi"/>
        </w:rPr>
      </w:pPr>
    </w:p>
    <w:sectPr w:rsidR="00D012AC" w:rsidRPr="00DC3A72" w:rsidSect="00B646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4807" w14:textId="77777777" w:rsidR="009D6D51" w:rsidRDefault="009D6D51" w:rsidP="00DC3A72">
      <w:pPr>
        <w:spacing w:after="0" w:line="240" w:lineRule="auto"/>
      </w:pPr>
      <w:r>
        <w:separator/>
      </w:r>
    </w:p>
  </w:endnote>
  <w:endnote w:type="continuationSeparator" w:id="0">
    <w:p w14:paraId="2D22D137" w14:textId="77777777" w:rsidR="009D6D51" w:rsidRDefault="009D6D51" w:rsidP="00DC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18E0" w14:textId="77777777" w:rsidR="009D6D51" w:rsidRDefault="009D6D51" w:rsidP="00DC3A72">
      <w:pPr>
        <w:spacing w:after="0" w:line="240" w:lineRule="auto"/>
      </w:pPr>
      <w:r>
        <w:separator/>
      </w:r>
    </w:p>
  </w:footnote>
  <w:footnote w:type="continuationSeparator" w:id="0">
    <w:p w14:paraId="5356811B" w14:textId="77777777" w:rsidR="009D6D51" w:rsidRDefault="009D6D51" w:rsidP="00DC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A06"/>
    <w:multiLevelType w:val="multilevel"/>
    <w:tmpl w:val="078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A4A90"/>
    <w:multiLevelType w:val="hybridMultilevel"/>
    <w:tmpl w:val="69021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D7"/>
    <w:rsid w:val="0002108F"/>
    <w:rsid w:val="000E5F43"/>
    <w:rsid w:val="001916B7"/>
    <w:rsid w:val="0036683C"/>
    <w:rsid w:val="003A4CCF"/>
    <w:rsid w:val="0045273A"/>
    <w:rsid w:val="00456FD7"/>
    <w:rsid w:val="00521ED5"/>
    <w:rsid w:val="00567386"/>
    <w:rsid w:val="00627A0E"/>
    <w:rsid w:val="006469CE"/>
    <w:rsid w:val="00651F1D"/>
    <w:rsid w:val="006A580B"/>
    <w:rsid w:val="0070755E"/>
    <w:rsid w:val="007E6904"/>
    <w:rsid w:val="008029F1"/>
    <w:rsid w:val="008370B6"/>
    <w:rsid w:val="0086789C"/>
    <w:rsid w:val="00890AFD"/>
    <w:rsid w:val="00891D3D"/>
    <w:rsid w:val="0089209F"/>
    <w:rsid w:val="009761D3"/>
    <w:rsid w:val="0098639E"/>
    <w:rsid w:val="009D6D51"/>
    <w:rsid w:val="009D6F14"/>
    <w:rsid w:val="00A078A0"/>
    <w:rsid w:val="00A4028A"/>
    <w:rsid w:val="00A560B0"/>
    <w:rsid w:val="00AD1E5C"/>
    <w:rsid w:val="00B32E7E"/>
    <w:rsid w:val="00B35433"/>
    <w:rsid w:val="00B6465F"/>
    <w:rsid w:val="00BD1B61"/>
    <w:rsid w:val="00C7669E"/>
    <w:rsid w:val="00D40223"/>
    <w:rsid w:val="00DC3A72"/>
    <w:rsid w:val="00ED6B3E"/>
    <w:rsid w:val="00F03C29"/>
    <w:rsid w:val="00F0605F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504D"/>
  <w15:chartTrackingRefBased/>
  <w15:docId w15:val="{14F23074-D05E-46AB-9D97-614533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6FD7"/>
    <w:rPr>
      <w:b/>
      <w:bCs/>
    </w:rPr>
  </w:style>
  <w:style w:type="character" w:styleId="Hyperlink">
    <w:name w:val="Hyperlink"/>
    <w:basedOn w:val="DefaultParagraphFont"/>
    <w:uiPriority w:val="99"/>
    <w:unhideWhenUsed/>
    <w:rsid w:val="00DC3A72"/>
    <w:rPr>
      <w:rFonts w:ascii="Arial" w:hAnsi="Arial" w:cs="Arial" w:hint="default"/>
      <w:color w:val="1879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72"/>
  </w:style>
  <w:style w:type="paragraph" w:styleId="Footer">
    <w:name w:val="footer"/>
    <w:basedOn w:val="Normal"/>
    <w:link w:val="FooterChar"/>
    <w:uiPriority w:val="99"/>
    <w:unhideWhenUsed/>
    <w:rsid w:val="00DC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72"/>
  </w:style>
  <w:style w:type="character" w:styleId="UnresolvedMention">
    <w:name w:val="Unresolved Mention"/>
    <w:basedOn w:val="DefaultParagraphFont"/>
    <w:uiPriority w:val="99"/>
    <w:semiHidden/>
    <w:unhideWhenUsed/>
    <w:rsid w:val="007E6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0E"/>
    <w:pPr>
      <w:ind w:left="720"/>
      <w:contextualSpacing/>
    </w:pPr>
  </w:style>
  <w:style w:type="paragraph" w:styleId="Revision">
    <w:name w:val="Revision"/>
    <w:hidden/>
    <w:uiPriority w:val="99"/>
    <w:semiHidden/>
    <w:rsid w:val="009D6F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0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hellofurther.com/101-Learning-Tracks-opt-in.html?utm_source=bl&amp;utm_medium=group&amp;utm_campaign=Engagement&amp;utm_content=Open-Enroll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.hellofurther.com/Individuals?utm_source=bl&amp;utm_medium=group&amp;utm_campaign=Engagement&amp;utm_content=Open-Enrol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hellofurther.com/PerceptionGap?utm_source=bl&amp;utm_medium=group&amp;utm_campaign=Engagement&amp;utm_content=Open-Enrol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F3AD-B8AF-4689-9129-5C842267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Brae</dc:creator>
  <cp:keywords/>
  <dc:description/>
  <cp:lastModifiedBy>Harper, Doc</cp:lastModifiedBy>
  <cp:revision>2</cp:revision>
  <dcterms:created xsi:type="dcterms:W3CDTF">2021-08-31T19:43:00Z</dcterms:created>
  <dcterms:modified xsi:type="dcterms:W3CDTF">2021-08-31T19:43:00Z</dcterms:modified>
</cp:coreProperties>
</file>