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358ED" w14:paraId="0582AA76" w14:textId="77777777" w:rsidTr="002358ED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58ED" w14:paraId="0C16A075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3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837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  <w:gridCol w:w="4710"/>
                  </w:tblGrid>
                  <w:tr w:rsidR="002358ED" w14:paraId="26EB3AD2" w14:textId="77777777">
                    <w:trPr>
                      <w:jc w:val="center"/>
                    </w:trPr>
                    <w:tc>
                      <w:tcPr>
                        <w:tcW w:w="366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366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0"/>
                        </w:tblGrid>
                        <w:tr w:rsidR="002358ED" w14:paraId="65AE6E28" w14:textId="77777777">
                          <w:tc>
                            <w:tcPr>
                              <w:tcW w:w="3660" w:type="dxa"/>
                              <w:shd w:val="clear" w:color="auto" w:fill="FFFFFF"/>
                              <w:tcMar>
                                <w:top w:w="270" w:type="dxa"/>
                                <w:left w:w="0" w:type="dxa"/>
                                <w:bottom w:w="675" w:type="dxa"/>
                                <w:right w:w="0" w:type="dxa"/>
                              </w:tcMar>
                              <w:hideMark/>
                            </w:tcPr>
                            <w:p w14:paraId="722A8E9F" w14:textId="068DE6C9" w:rsidR="002358ED" w:rsidRDefault="002358ED">
                              <w:pPr>
                                <w:spacing w:line="360" w:lineRule="atLeast"/>
                                <w:rPr>
                                  <w:rFonts w:ascii="Nunito Sans" w:eastAsia="Times New Roman" w:hAnsi="Nunito Sans" w:cs="Arial"/>
                                  <w:color w:val="21212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eastAsia="Times New Roman" w:hAnsi="Nunito Sans" w:cs="Arial"/>
                                  <w:noProof/>
                                  <w:color w:val="21212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829FB47" wp14:editId="66E55229">
                                    <wp:extent cx="2190750" cy="590550"/>
                                    <wp:effectExtent l="0" t="0" r="0" b="0"/>
                                    <wp:docPr id="5" name="Picture 5" descr="Furth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urth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FC4F33B" w14:textId="77777777" w:rsidR="002358ED" w:rsidRDefault="002358E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150" w:type="dxa"/>
                          <w:bottom w:w="0" w:type="dxa"/>
                          <w:right w:w="180" w:type="dxa"/>
                        </w:tcMar>
                        <w:hideMark/>
                      </w:tcPr>
                      <w:p w14:paraId="71B4248D" w14:textId="77777777" w:rsidR="002358ED" w:rsidRDefault="002358ED">
                        <w:pPr>
                          <w:spacing w:line="240" w:lineRule="atLeast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</w:rPr>
                          <w:t xml:space="preserve">  </w:t>
                        </w:r>
                      </w:p>
                    </w:tc>
                  </w:tr>
                </w:tbl>
                <w:p w14:paraId="293C5F09" w14:textId="77777777" w:rsidR="002358ED" w:rsidRDefault="002358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166738" w14:textId="77777777" w:rsidR="002358ED" w:rsidRDefault="00235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D21F8D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358ED" w14:paraId="3D86ED22" w14:textId="77777777" w:rsidTr="002358ED">
        <w:tc>
          <w:tcPr>
            <w:tcW w:w="9000" w:type="dxa"/>
            <w:hideMark/>
          </w:tcPr>
          <w:tbl>
            <w:tblPr>
              <w:tblW w:w="9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358ED" w14:paraId="2906C70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2358ED" w14:paraId="63B594F7" w14:textId="77777777">
                    <w:tc>
                      <w:tcPr>
                        <w:tcW w:w="0" w:type="auto"/>
                        <w:hideMark/>
                      </w:tcPr>
                      <w:p w14:paraId="18111DEC" w14:textId="7C10E9A4" w:rsidR="002358ED" w:rsidRDefault="002358ED">
                        <w:pPr>
                          <w:spacing w:line="360" w:lineRule="atLeast"/>
                          <w:rPr>
                            <w:rFonts w:ascii="Nunito Sans" w:eastAsia="Times New Roman" w:hAnsi="Nunito Sans" w:cs="Arial"/>
                            <w:color w:val="21212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1879BF"/>
                            <w:sz w:val="24"/>
                            <w:szCs w:val="24"/>
                          </w:rPr>
                          <w:drawing>
                            <wp:inline distT="0" distB="0" distL="0" distR="0" wp14:anchorId="2D99BB9E" wp14:editId="27C6434F">
                              <wp:extent cx="5334000" cy="1905000"/>
                              <wp:effectExtent l="0" t="0" r="0" b="0"/>
                              <wp:docPr id="4" name="Picture 4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20AFD8" w14:textId="77777777" w:rsidR="002358ED" w:rsidRDefault="002358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0E8EBF" w14:textId="77777777" w:rsidR="002358ED" w:rsidRDefault="00235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441095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358ED" w14:paraId="44CB8F33" w14:textId="77777777" w:rsidTr="002358E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358ED" w14:paraId="75E14B9F" w14:textId="77777777"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3D1F29" w14:textId="77777777" w:rsidR="002358ED" w:rsidRDefault="002358ED">
                  <w:pPr>
                    <w:spacing w:line="480" w:lineRule="atLeast"/>
                    <w:rPr>
                      <w:rFonts w:ascii="Nunito Sans" w:eastAsia="Times New Roman" w:hAnsi="Nunito Sans" w:cs="Arial"/>
                      <w:b/>
                      <w:bCs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Nunito Sans" w:eastAsia="Times New Roman" w:hAnsi="Nunito Sans" w:cs="Arial"/>
                      <w:b/>
                      <w:bCs/>
                      <w:color w:val="333333"/>
                      <w:sz w:val="33"/>
                      <w:szCs w:val="33"/>
                    </w:rPr>
                    <w:t xml:space="preserve">Support when and where you need it </w:t>
                  </w:r>
                </w:p>
              </w:tc>
            </w:tr>
          </w:tbl>
          <w:p w14:paraId="5F1F09E5" w14:textId="77777777" w:rsidR="002358ED" w:rsidRDefault="00235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417EC7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358ED" w14:paraId="4795457D" w14:textId="77777777" w:rsidTr="002358E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58ED" w14:paraId="3047001C" w14:textId="7777777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BA97DAB" w14:textId="77777777" w:rsidR="002358ED" w:rsidRDefault="002358ED">
                  <w:pPr>
                    <w:spacing w:line="15" w:lineRule="atLeast"/>
                    <w:rPr>
                      <w:rFonts w:ascii="Arial" w:eastAsia="Times New Roman" w:hAnsi="Arial" w:cs="Arial"/>
                      <w:color w:val="212121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212121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2EDBF6BC" w14:textId="77777777" w:rsidR="002358ED" w:rsidRDefault="00235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97B948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358ED" w14:paraId="1F9C78AD" w14:textId="77777777" w:rsidTr="002358E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358ED" w14:paraId="5A40655A" w14:textId="77777777">
              <w:tc>
                <w:tcPr>
                  <w:tcW w:w="0" w:type="auto"/>
                  <w:tcMar>
                    <w:top w:w="7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14:paraId="0BABD614" w14:textId="77777777" w:rsidR="002358ED" w:rsidRDefault="002358ED">
                  <w:pPr>
                    <w:spacing w:line="360" w:lineRule="atLeast"/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 xml:space="preserve">2020 has been a year like </w:t>
                  </w:r>
                  <w:proofErr w:type="gramStart"/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>never before</w:t>
                  </w:r>
                  <w:proofErr w:type="gramEnd"/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 xml:space="preserve">. As we head into open enrollment, we know that the health and wellbeing of you and your family is likely on your mind now, more than ever. </w:t>
                  </w:r>
                  <w:proofErr w:type="gramStart"/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>We've</w:t>
                  </w:r>
                  <w:proofErr w:type="gramEnd"/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 xml:space="preserve"> put together easy resources to help make open enrollment one less thing to worry about. </w:t>
                  </w:r>
                </w:p>
              </w:tc>
            </w:tr>
          </w:tbl>
          <w:p w14:paraId="737D0E5A" w14:textId="77777777" w:rsidR="002358ED" w:rsidRDefault="00235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CE4091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358ED" w14:paraId="66563A0C" w14:textId="77777777" w:rsidTr="002358E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358ED" w14:paraId="0E828D05" w14:textId="77777777">
              <w:tc>
                <w:tcPr>
                  <w:tcW w:w="0" w:type="auto"/>
                  <w:tcMar>
                    <w:top w:w="7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14:paraId="138FCB9A" w14:textId="77777777" w:rsidR="002358ED" w:rsidRDefault="002358ED">
                  <w:pPr>
                    <w:spacing w:line="360" w:lineRule="atLeast"/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 xml:space="preserve">With our partners at Further, </w:t>
                  </w:r>
                  <w:proofErr w:type="gramStart"/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>we're</w:t>
                  </w:r>
                  <w:proofErr w:type="gramEnd"/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 xml:space="preserve"> reimagining how health savings accounts (HSAs) can be leveraged to pay for today's health care costs. HSAs were originally positioned as long-term savings vehicles but a pivotal shift has taken place and a Further study shows that consumers are leveraging these powerful accounts to pay for today's health care costs with pre-tax dollars, resulting in out of pocket savings. In fact: </w:t>
                  </w:r>
                </w:p>
              </w:tc>
            </w:tr>
          </w:tbl>
          <w:p w14:paraId="4168A387" w14:textId="77777777" w:rsidR="002358ED" w:rsidRDefault="00235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FDCD8E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358ED" w14:paraId="338B89AD" w14:textId="77777777" w:rsidTr="002358E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358ED" w14:paraId="5F076C8E" w14:textId="77777777">
              <w:tc>
                <w:tcPr>
                  <w:tcW w:w="0" w:type="auto"/>
                  <w:tcMar>
                    <w:top w:w="7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14:paraId="67C38957" w14:textId="77777777" w:rsidR="002358ED" w:rsidRDefault="002358ED" w:rsidP="00BC024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>65 percent of HSA owners use their accounts for paying for health care only, not as an investment vehicle</w:t>
                  </w:r>
                </w:p>
                <w:p w14:paraId="5378B6C1" w14:textId="77777777" w:rsidR="002358ED" w:rsidRDefault="002358ED" w:rsidP="00BC024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>HSAs are an easy way to put pre-tax dollars towards health care costs, including procedures, prescriptions, bandages, cold and flu medicine, and much more</w:t>
                  </w:r>
                </w:p>
                <w:p w14:paraId="5907F662" w14:textId="77777777" w:rsidR="002358ED" w:rsidRDefault="002358ED" w:rsidP="00BC024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>HSA contributions do not expire at the end of the year and the account is yours for life</w:t>
                  </w:r>
                </w:p>
                <w:p w14:paraId="2183F980" w14:textId="77777777" w:rsidR="002358ED" w:rsidRDefault="002358ED" w:rsidP="00BC024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>HSAs cover all preventative care benefits, such as annual physicals</w:t>
                  </w:r>
                </w:p>
              </w:tc>
            </w:tr>
          </w:tbl>
          <w:p w14:paraId="3ADC613F" w14:textId="77777777" w:rsidR="002358ED" w:rsidRDefault="00235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2D78E2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358ED" w14:paraId="6203FFC4" w14:textId="77777777" w:rsidTr="002358E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358ED" w14:paraId="45FE5781" w14:textId="77777777">
              <w:tc>
                <w:tcPr>
                  <w:tcW w:w="0" w:type="auto"/>
                  <w:tcMar>
                    <w:top w:w="7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14:paraId="6A833111" w14:textId="77777777" w:rsidR="002358ED" w:rsidRDefault="002358ED">
                  <w:pPr>
                    <w:spacing w:line="360" w:lineRule="atLeast"/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 xml:space="preserve">As you find the right benefits for you, and your family, this open enrollment, Further has a variety of tools to help you take a deep dive into the benefits of HSAs and how they can support your individual health and investment journey. </w:t>
                  </w:r>
                </w:p>
              </w:tc>
            </w:tr>
          </w:tbl>
          <w:p w14:paraId="496FD325" w14:textId="77777777" w:rsidR="002358ED" w:rsidRDefault="00235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77ED6D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358ED" w14:paraId="7A5A8E48" w14:textId="77777777" w:rsidTr="002358E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358ED" w14:paraId="42696725" w14:textId="77777777">
              <w:tc>
                <w:tcPr>
                  <w:tcW w:w="0" w:type="auto"/>
                  <w:tcMar>
                    <w:top w:w="7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14:paraId="69DC45A9" w14:textId="68FFDA90" w:rsidR="002358ED" w:rsidRDefault="002358ED">
                  <w:pPr>
                    <w:spacing w:line="360" w:lineRule="atLeast"/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 xml:space="preserve">Visit our </w:t>
                  </w:r>
                  <w:hyperlink r:id="rId8" w:tgtFrame="_blank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open enrollment employee resources page</w:t>
                    </w:r>
                  </w:hyperlink>
                  <w:r>
                    <w:rPr>
                      <w:rFonts w:ascii="Nunito Sans" w:eastAsia="Times New Roman" w:hAnsi="Nunito Sans" w:cs="Arial"/>
                      <w:color w:val="333333"/>
                      <w:sz w:val="21"/>
                      <w:szCs w:val="21"/>
                    </w:rPr>
                    <w:t xml:space="preserve"> today. </w:t>
                  </w:r>
                </w:p>
              </w:tc>
            </w:tr>
          </w:tbl>
          <w:p w14:paraId="60A6CEDB" w14:textId="77777777" w:rsidR="002358ED" w:rsidRDefault="00235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11617B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358ED" w14:paraId="0D14A6A4" w14:textId="77777777" w:rsidTr="002358E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58ED" w14:paraId="1567154A" w14:textId="7777777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D5994D" w14:textId="77777777" w:rsidR="002358ED" w:rsidRDefault="002358ED">
                  <w:pPr>
                    <w:spacing w:line="15" w:lineRule="atLeast"/>
                    <w:rPr>
                      <w:rFonts w:ascii="Arial" w:eastAsia="Times New Roman" w:hAnsi="Arial" w:cs="Arial"/>
                      <w:color w:val="212121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color w:val="212121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</w:tbl>
          <w:p w14:paraId="2EA86418" w14:textId="77777777" w:rsidR="002358ED" w:rsidRDefault="00235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49A4B6" w14:textId="77777777" w:rsidR="002358ED" w:rsidRDefault="002358ED" w:rsidP="002358ED">
      <w:pPr>
        <w:spacing w:line="360" w:lineRule="atLeast"/>
        <w:rPr>
          <w:rFonts w:ascii="Arial" w:eastAsia="Times New Roman" w:hAnsi="Arial" w:cs="Arial"/>
          <w:vanish/>
          <w:color w:val="212121"/>
          <w:sz w:val="24"/>
          <w:szCs w:val="24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358ED" w14:paraId="5F35CC67" w14:textId="77777777" w:rsidTr="002358E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5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358ED" w14:paraId="3AE647A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358ED" w14:paraId="00DFAE22" w14:textId="77777777"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2358ED" w14:paraId="22F5AE44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  <w:gridCol w:w="930"/>
                                <w:gridCol w:w="480"/>
                              </w:tblGrid>
                              <w:tr w:rsidR="002358ED" w14:paraId="73B5DF2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040D0BA" w14:textId="419CCAEC" w:rsidR="002358ED" w:rsidRDefault="002358ED">
                                    <w:pPr>
                                      <w:rPr>
                                        <w:rFonts w:ascii="Nunito Sans" w:eastAsia="Times New Roman" w:hAnsi="Nunito Sans" w:cs="Arial"/>
                                        <w:color w:val="21212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49494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DBF7AA8" wp14:editId="66EA3269">
                                          <wp:extent cx="304800" cy="304800"/>
                                          <wp:effectExtent l="0" t="0" r="0" b="0"/>
                                          <wp:docPr id="3" name="Picture 3">
                                            <a:hlinkClick xmlns:a="http://schemas.openxmlformats.org/drawingml/2006/main" r:id="rId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30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31945E17" w14:textId="1B06D0D4" w:rsidR="002358ED" w:rsidRDefault="002358ED">
                                    <w:pPr>
                                      <w:rPr>
                                        <w:rFonts w:ascii="Nunito Sans" w:eastAsia="Times New Roman" w:hAnsi="Nunito Sans" w:cs="Arial"/>
                                        <w:color w:val="21212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49494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5D16C34" wp14:editId="0BD59020">
                                          <wp:extent cx="304800" cy="304800"/>
                                          <wp:effectExtent l="0" t="0" r="0" b="0"/>
                                          <wp:docPr id="2" name="Picture 2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3EA6F20" w14:textId="5641C8E3" w:rsidR="002358ED" w:rsidRDefault="002358ED">
                                    <w:pPr>
                                      <w:rPr>
                                        <w:rFonts w:ascii="Nunito Sans" w:eastAsia="Times New Roman" w:hAnsi="Nunito Sans" w:cs="Arial"/>
                                        <w:color w:val="21212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949494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E30D365" wp14:editId="446AF4E5">
                                          <wp:extent cx="304800" cy="304800"/>
                                          <wp:effectExtent l="0" t="0" r="0" b="0"/>
                                          <wp:docPr id="1" name="Picture 1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33E2A9E" w14:textId="77777777" w:rsidR="002358ED" w:rsidRDefault="002358E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2B2964" w14:textId="77777777" w:rsidR="002358ED" w:rsidRDefault="002358E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2808CC" w14:textId="77777777" w:rsidR="002358ED" w:rsidRDefault="002358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58ED" w14:paraId="550E3106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358ED" w14:paraId="5E7B4419" w14:textId="77777777">
                    <w:tc>
                      <w:tcPr>
                        <w:tcW w:w="5000" w:type="pct"/>
                        <w:tcMar>
                          <w:top w:w="0" w:type="dxa"/>
                          <w:left w:w="450" w:type="dxa"/>
                          <w:bottom w:w="450" w:type="dxa"/>
                          <w:right w:w="450" w:type="dxa"/>
                        </w:tcMar>
                      </w:tcPr>
                      <w:p w14:paraId="2F5803A9" w14:textId="015E7B67" w:rsidR="002358ED" w:rsidRDefault="00FB1B90">
                        <w:pPr>
                          <w:spacing w:line="270" w:lineRule="atLeast"/>
                          <w:jc w:val="center"/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</w:pPr>
                        <w:hyperlink r:id="rId15" w:tgtFrame="_blank" w:history="1">
                          <w:r w:rsidR="002358ED">
                            <w:rPr>
                              <w:rStyle w:val="Hyperlink"/>
                              <w:rFonts w:eastAsia="Times New Roman"/>
                              <w:sz w:val="20"/>
                              <w:szCs w:val="20"/>
                            </w:rPr>
                            <w:t>unsubscribe</w:t>
                          </w:r>
                        </w:hyperlink>
                        <w:r w:rsidR="002358ED"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  <w:t xml:space="preserve"> | </w:t>
                        </w:r>
                        <w:hyperlink r:id="rId16" w:tgtFrame="_blank" w:history="1">
                          <w:r w:rsidR="002358ED">
                            <w:rPr>
                              <w:rStyle w:val="Hyperlink"/>
                              <w:rFonts w:eastAsia="Times New Roman"/>
                              <w:sz w:val="20"/>
                              <w:szCs w:val="20"/>
                            </w:rPr>
                            <w:t>Privacy Policy</w:t>
                          </w:r>
                        </w:hyperlink>
                        <w:r w:rsidR="002358ED"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E9143B5" w14:textId="77777777" w:rsidR="002358ED" w:rsidRDefault="002358ED">
                        <w:pPr>
                          <w:spacing w:line="270" w:lineRule="atLeast"/>
                          <w:jc w:val="center"/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  <w:p w14:paraId="05DF6461" w14:textId="77777777" w:rsidR="002358ED" w:rsidRDefault="002358ED">
                        <w:pPr>
                          <w:spacing w:line="270" w:lineRule="atLeast"/>
                          <w:jc w:val="center"/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  <w:t xml:space="preserve">© Further 2020. All rights reserved. </w:t>
                        </w:r>
                      </w:p>
                      <w:p w14:paraId="661A86BF" w14:textId="77777777" w:rsidR="002358ED" w:rsidRDefault="002358ED">
                        <w:pPr>
                          <w:spacing w:line="270" w:lineRule="atLeast"/>
                          <w:jc w:val="center"/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  <w:p w14:paraId="22B03F5B" w14:textId="6E73ACE7" w:rsidR="002358ED" w:rsidRDefault="00FB1B90">
                        <w:pPr>
                          <w:spacing w:line="270" w:lineRule="atLeast"/>
                          <w:jc w:val="center"/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</w:pPr>
                        <w:hyperlink r:id="rId17" w:tgtFrame="_blank" w:history="1">
                          <w:r w:rsidR="002358ED">
                            <w:rPr>
                              <w:rStyle w:val="Hyperlink"/>
                              <w:rFonts w:eastAsia="Times New Roman"/>
                              <w:sz w:val="20"/>
                              <w:szCs w:val="20"/>
                            </w:rPr>
                            <w:t>hellofurther.com</w:t>
                          </w:r>
                        </w:hyperlink>
                        <w:r w:rsidR="002358ED">
                          <w:rPr>
                            <w:rFonts w:ascii="Nunito Sans" w:eastAsia="Times New Roman" w:hAnsi="Nunito Sans" w:cs="Arial"/>
                            <w:color w:val="333333"/>
                            <w:sz w:val="20"/>
                            <w:szCs w:val="20"/>
                          </w:rPr>
                          <w:t xml:space="preserve"> | P.O. Box 982814 | El Paso, TX 79998-2814 </w:t>
                        </w:r>
                      </w:p>
                    </w:tc>
                  </w:tr>
                </w:tbl>
                <w:p w14:paraId="39F05C35" w14:textId="77777777" w:rsidR="002358ED" w:rsidRDefault="002358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58ED" w14:paraId="4B4B059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7B8FDE" w14:textId="77777777" w:rsidR="002358ED" w:rsidRDefault="002358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21AEA6" w14:textId="77777777" w:rsidR="002358ED" w:rsidRDefault="00235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FD8F71" w14:textId="77777777" w:rsidR="00C30FE4" w:rsidRDefault="00C30FE4"/>
    <w:sectPr w:rsidR="00C30FE4" w:rsidSect="00E15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A9D"/>
    <w:multiLevelType w:val="multilevel"/>
    <w:tmpl w:val="1068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D"/>
    <w:rsid w:val="002358ED"/>
    <w:rsid w:val="00C30FE4"/>
    <w:rsid w:val="00E157C6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8D2F"/>
  <w15:chartTrackingRefBased/>
  <w15:docId w15:val="{B19EEF5A-CA2B-4785-A138-72F7731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8ED"/>
    <w:rPr>
      <w:rFonts w:ascii="Arial" w:hAnsi="Arial" w:cs="Arial" w:hint="default"/>
      <w:color w:val="1879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hellofurther.com/Employers/Educating_Employees?utm_medium=em&amp;utm_source=newsletter&amp;utm_campaign=oe_2022&amp;utm_content=hsa_promo_newsletter&amp;utm_offer=access_toolkit&amp;utm_term=na&amp;utm_segment=groups_members&amp;utm_persona=na" TargetMode="External"/><Relationship Id="rId13" Type="http://schemas.openxmlformats.org/officeDocument/2006/relationships/hyperlink" Target="http://mkto-sj270032.com/f00i30T0od001D1sNfUKR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hellofurther.com/privacy-poli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lofurther.com/privacy-polic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kto-sj270032.com/d30TR1tfgs0Uo00D1Y010N0" TargetMode="External"/><Relationship Id="rId11" Type="http://schemas.openxmlformats.org/officeDocument/2006/relationships/hyperlink" Target="http://mkto-sj270032.com/UszR01U0TD0N3f011f0005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o.hellofurther.com/UnsubscribePage.html?mkt_unsubscribe=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kto-sj270032.com/z0so13T0001Df4f1NRy0U0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Hedlund, Jenna</dc:creator>
  <cp:keywords/>
  <dc:description/>
  <cp:lastModifiedBy>Harper, Doc</cp:lastModifiedBy>
  <cp:revision>2</cp:revision>
  <cp:lastPrinted>2020-08-31T14:21:00Z</cp:lastPrinted>
  <dcterms:created xsi:type="dcterms:W3CDTF">2020-08-31T14:45:00Z</dcterms:created>
  <dcterms:modified xsi:type="dcterms:W3CDTF">2020-08-31T14:45:00Z</dcterms:modified>
</cp:coreProperties>
</file>