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56FD7" w:rsidRPr="00DC3A72" w14:paraId="61681B52" w14:textId="77777777" w:rsidTr="005B1252">
        <w:tc>
          <w:tcPr>
            <w:tcW w:w="9360" w:type="dxa"/>
          </w:tcPr>
          <w:p w14:paraId="72BD40B4" w14:textId="14A40A5A" w:rsidR="00456FD7" w:rsidRPr="00DC3A72" w:rsidRDefault="005B1252">
            <w:pPr>
              <w:rPr>
                <w:rFonts w:cstheme="minorHAnsi"/>
              </w:rPr>
            </w:pPr>
            <w:bookmarkStart w:id="0" w:name="_Hlk48653232"/>
            <w:r>
              <w:rPr>
                <w:noProof/>
              </w:rPr>
              <w:drawing>
                <wp:inline distT="0" distB="0" distL="0" distR="0" wp14:anchorId="1C9D5F09" wp14:editId="7EB533BA">
                  <wp:extent cx="5943600"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83" b="8461"/>
                          <a:stretch/>
                        </pic:blipFill>
                        <pic:spPr bwMode="auto">
                          <a:xfrm>
                            <a:off x="0" y="0"/>
                            <a:ext cx="5943600" cy="30175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6FD7" w:rsidRPr="00DC3A72" w14:paraId="2C7AC143" w14:textId="77777777" w:rsidTr="005B1252">
        <w:tc>
          <w:tcPr>
            <w:tcW w:w="9360" w:type="dxa"/>
          </w:tcPr>
          <w:p w14:paraId="71ED0236" w14:textId="77777777" w:rsidR="00456FD7" w:rsidRPr="00DC3A72" w:rsidRDefault="00456FD7">
            <w:pPr>
              <w:rPr>
                <w:rFonts w:cstheme="minorHAnsi"/>
              </w:rPr>
            </w:pPr>
          </w:p>
        </w:tc>
      </w:tr>
      <w:tr w:rsidR="00456FD7" w:rsidRPr="00DC3A72" w14:paraId="6215AAA9" w14:textId="77777777" w:rsidTr="005B1252">
        <w:tc>
          <w:tcPr>
            <w:tcW w:w="9360" w:type="dxa"/>
          </w:tcPr>
          <w:p w14:paraId="7C54F3B0" w14:textId="790BE07A" w:rsidR="00456FD7" w:rsidRPr="00651F1D" w:rsidRDefault="005B1252">
            <w:pPr>
              <w:rPr>
                <w:rFonts w:cstheme="minorHAnsi"/>
                <w:sz w:val="33"/>
                <w:szCs w:val="33"/>
              </w:rPr>
            </w:pPr>
            <w:r>
              <w:rPr>
                <w:rFonts w:eastAsia="Times New Roman" w:cstheme="minorHAnsi"/>
                <w:b/>
                <w:bCs/>
                <w:sz w:val="33"/>
                <w:szCs w:val="33"/>
              </w:rPr>
              <w:t>Tips for your HSA in the New Year</w:t>
            </w:r>
          </w:p>
        </w:tc>
      </w:tr>
      <w:tr w:rsidR="00DC3A72" w:rsidRPr="00DC3A72" w14:paraId="620B6D74" w14:textId="77777777" w:rsidTr="005B1252">
        <w:tc>
          <w:tcPr>
            <w:tcW w:w="9360" w:type="dxa"/>
          </w:tcPr>
          <w:p w14:paraId="630215CE" w14:textId="77777777" w:rsidR="00DC3A72" w:rsidRPr="00651F1D" w:rsidRDefault="00DC3A72">
            <w:pPr>
              <w:rPr>
                <w:rFonts w:eastAsia="Times New Roman" w:cstheme="minorHAnsi"/>
                <w:b/>
                <w:bCs/>
                <w:sz w:val="20"/>
                <w:szCs w:val="20"/>
              </w:rPr>
            </w:pPr>
          </w:p>
        </w:tc>
      </w:tr>
      <w:tr w:rsidR="00456FD7" w:rsidRPr="00DC3A72" w14:paraId="7C098CBD" w14:textId="77777777" w:rsidTr="005B1252">
        <w:tc>
          <w:tcPr>
            <w:tcW w:w="9360" w:type="dxa"/>
          </w:tcPr>
          <w:p w14:paraId="4800949A" w14:textId="77777777" w:rsidR="00456FD7" w:rsidRDefault="005B1252" w:rsidP="00627A0E">
            <w:pPr>
              <w:rPr>
                <w:rFonts w:eastAsia="Times New Roman" w:cstheme="minorHAnsi"/>
                <w:sz w:val="21"/>
                <w:szCs w:val="21"/>
              </w:rPr>
            </w:pPr>
            <w:r w:rsidRPr="005B1252">
              <w:rPr>
                <w:rFonts w:eastAsia="Times New Roman" w:cstheme="minorHAnsi"/>
                <w:sz w:val="21"/>
                <w:szCs w:val="21"/>
              </w:rPr>
              <w:t>With the new year comes new benefits. Some of you may be new to an HSA this year. Even if having an HSA is not new to you, it may be helpful to review the following tips so you can take full advantage of your account</w:t>
            </w:r>
            <w:r w:rsidR="00C92823">
              <w:rPr>
                <w:rFonts w:eastAsia="Times New Roman" w:cstheme="minorHAnsi"/>
                <w:sz w:val="21"/>
                <w:szCs w:val="21"/>
              </w:rPr>
              <w:t>.</w:t>
            </w:r>
          </w:p>
          <w:p w14:paraId="7440FBD2" w14:textId="2B53C6DB" w:rsidR="00C92823" w:rsidRPr="00651F1D" w:rsidRDefault="00C92823" w:rsidP="00627A0E">
            <w:pPr>
              <w:rPr>
                <w:rFonts w:eastAsia="Times New Roman" w:cstheme="minorHAnsi"/>
                <w:sz w:val="21"/>
                <w:szCs w:val="21"/>
              </w:rPr>
            </w:pPr>
          </w:p>
        </w:tc>
      </w:tr>
      <w:tr w:rsidR="00C92823" w:rsidRPr="00DC3A72" w14:paraId="18E89110" w14:textId="77777777" w:rsidTr="005B1252">
        <w:tc>
          <w:tcPr>
            <w:tcW w:w="9360" w:type="dxa"/>
          </w:tcPr>
          <w:p w14:paraId="5204B034" w14:textId="2268A263" w:rsidR="00C92823" w:rsidRPr="005B1252" w:rsidRDefault="00C92823" w:rsidP="00627A0E">
            <w:pPr>
              <w:rPr>
                <w:rFonts w:eastAsia="Times New Roman" w:cstheme="minorHAnsi"/>
                <w:sz w:val="21"/>
                <w:szCs w:val="21"/>
              </w:rPr>
            </w:pPr>
            <w:r w:rsidRPr="00C92823">
              <w:rPr>
                <w:rFonts w:eastAsia="Times New Roman" w:cstheme="minorHAnsi"/>
                <w:sz w:val="21"/>
                <w:szCs w:val="21"/>
              </w:rPr>
              <w:t>When it comes to making the most of health spending accounts (HSAs), it’s all about identifying what you want to do this year, knowing what can be paid from your account, and planning accordingly.</w:t>
            </w:r>
          </w:p>
        </w:tc>
      </w:tr>
      <w:tr w:rsidR="00DC3A72" w:rsidRPr="00DC3A72" w14:paraId="5FD616D0" w14:textId="77777777" w:rsidTr="005B1252">
        <w:tc>
          <w:tcPr>
            <w:tcW w:w="9360" w:type="dxa"/>
          </w:tcPr>
          <w:p w14:paraId="5B5ED31E" w14:textId="77777777" w:rsidR="00DC3A72" w:rsidRPr="00651F1D" w:rsidRDefault="00DC3A72" w:rsidP="00456FD7">
            <w:pPr>
              <w:jc w:val="center"/>
              <w:rPr>
                <w:rFonts w:eastAsia="Times New Roman" w:cstheme="minorHAnsi"/>
                <w:noProof/>
                <w:sz w:val="20"/>
                <w:szCs w:val="20"/>
                <w:shd w:val="clear" w:color="auto" w:fill="FFFFFF"/>
              </w:rPr>
            </w:pPr>
          </w:p>
        </w:tc>
      </w:tr>
      <w:tr w:rsidR="00456FD7" w:rsidRPr="00DC3A72" w14:paraId="099B5551" w14:textId="77777777" w:rsidTr="005B1252">
        <w:tc>
          <w:tcPr>
            <w:tcW w:w="9360" w:type="dxa"/>
          </w:tcPr>
          <w:p w14:paraId="2B831C9D" w14:textId="1AC5A67D" w:rsidR="005B1252" w:rsidRDefault="005B1252" w:rsidP="00627A0E">
            <w:pPr>
              <w:numPr>
                <w:ilvl w:val="0"/>
                <w:numId w:val="2"/>
              </w:numPr>
              <w:spacing w:before="100" w:beforeAutospacing="1" w:after="100" w:afterAutospacing="1"/>
              <w:rPr>
                <w:rFonts w:eastAsia="Times New Roman" w:cstheme="minorHAnsi"/>
                <w:sz w:val="21"/>
                <w:szCs w:val="21"/>
              </w:rPr>
            </w:pPr>
            <w:r w:rsidRPr="005B1252">
              <w:rPr>
                <w:rFonts w:eastAsia="Times New Roman" w:cstheme="minorHAnsi"/>
                <w:b/>
                <w:bCs/>
                <w:sz w:val="21"/>
                <w:szCs w:val="21"/>
              </w:rPr>
              <w:t>Consider your deductible.</w:t>
            </w:r>
            <w:r w:rsidRPr="005B1252">
              <w:rPr>
                <w:rFonts w:eastAsia="Times New Roman" w:cstheme="minorHAnsi"/>
                <w:sz w:val="21"/>
                <w:szCs w:val="21"/>
              </w:rPr>
              <w:t xml:space="preserve"> The deductible for your health plan is </w:t>
            </w:r>
            <w:r w:rsidRPr="005B1252">
              <w:rPr>
                <w:rFonts w:eastAsia="Times New Roman" w:cstheme="minorHAnsi"/>
                <w:b/>
                <w:bCs/>
                <w:sz w:val="21"/>
                <w:szCs w:val="21"/>
                <w:highlight w:val="yellow"/>
              </w:rPr>
              <w:t>$(amount)</w:t>
            </w:r>
            <w:r w:rsidRPr="005B1252">
              <w:rPr>
                <w:rFonts w:eastAsia="Times New Roman" w:cstheme="minorHAnsi"/>
                <w:sz w:val="21"/>
                <w:szCs w:val="21"/>
              </w:rPr>
              <w:t>. Payments towards your deductible started over in the new year, even if you had this plan last year. Remember you can use your spending account to pay for medical expenses as they come up. This will count as payment toward your deductible</w:t>
            </w:r>
            <w:r>
              <w:rPr>
                <w:rFonts w:eastAsia="Times New Roman" w:cstheme="minorHAnsi"/>
                <w:sz w:val="21"/>
                <w:szCs w:val="21"/>
              </w:rPr>
              <w:t>.</w:t>
            </w:r>
          </w:p>
          <w:p w14:paraId="16777367" w14:textId="77777777" w:rsidR="005B1252" w:rsidRPr="005B1252" w:rsidRDefault="005B1252" w:rsidP="005B1252">
            <w:pPr>
              <w:pStyle w:val="ListParagraph"/>
              <w:numPr>
                <w:ilvl w:val="0"/>
                <w:numId w:val="2"/>
              </w:numPr>
              <w:rPr>
                <w:rFonts w:eastAsia="Times New Roman" w:cstheme="minorHAnsi"/>
                <w:sz w:val="21"/>
                <w:szCs w:val="21"/>
              </w:rPr>
            </w:pPr>
            <w:r w:rsidRPr="005B1252">
              <w:rPr>
                <w:rFonts w:eastAsia="Times New Roman" w:cstheme="minorHAnsi"/>
                <w:b/>
                <w:bCs/>
                <w:sz w:val="21"/>
                <w:szCs w:val="21"/>
              </w:rPr>
              <w:t xml:space="preserve">Consider </w:t>
            </w:r>
            <w:proofErr w:type="gramStart"/>
            <w:r w:rsidRPr="005B1252">
              <w:rPr>
                <w:rFonts w:eastAsia="Times New Roman" w:cstheme="minorHAnsi"/>
                <w:b/>
                <w:bCs/>
                <w:sz w:val="21"/>
                <w:szCs w:val="21"/>
              </w:rPr>
              <w:t>what’s</w:t>
            </w:r>
            <w:proofErr w:type="gramEnd"/>
            <w:r w:rsidRPr="005B1252">
              <w:rPr>
                <w:rFonts w:eastAsia="Times New Roman" w:cstheme="minorHAnsi"/>
                <w:b/>
                <w:bCs/>
                <w:sz w:val="21"/>
                <w:szCs w:val="21"/>
              </w:rPr>
              <w:t xml:space="preserve"> covered.</w:t>
            </w:r>
            <w:r w:rsidRPr="005B1252">
              <w:rPr>
                <w:rFonts w:eastAsia="Times New Roman" w:cstheme="minorHAnsi"/>
                <w:sz w:val="21"/>
                <w:szCs w:val="21"/>
              </w:rPr>
              <w:t xml:space="preserve"> Routine checkups are completely covered under any health insurance plan with an HSA. Routine check-ups, or preventative visits, are important in preventing illness and detecting conditions earlier, when they are easier to treat. You can find more information about </w:t>
            </w:r>
            <w:proofErr w:type="gramStart"/>
            <w:r w:rsidRPr="005B1252">
              <w:rPr>
                <w:rFonts w:eastAsia="Times New Roman" w:cstheme="minorHAnsi"/>
                <w:sz w:val="21"/>
                <w:szCs w:val="21"/>
              </w:rPr>
              <w:t>what’s</w:t>
            </w:r>
            <w:proofErr w:type="gramEnd"/>
            <w:r w:rsidRPr="005B1252">
              <w:rPr>
                <w:rFonts w:eastAsia="Times New Roman" w:cstheme="minorHAnsi"/>
                <w:sz w:val="21"/>
                <w:szCs w:val="21"/>
              </w:rPr>
              <w:t xml:space="preserve"> covered under your plan </w:t>
            </w:r>
            <w:r w:rsidRPr="005B1252">
              <w:rPr>
                <w:rFonts w:eastAsia="Times New Roman" w:cstheme="minorHAnsi"/>
                <w:b/>
                <w:bCs/>
                <w:sz w:val="21"/>
                <w:szCs w:val="21"/>
                <w:highlight w:val="yellow"/>
                <w:u w:val="single"/>
              </w:rPr>
              <w:t>here</w:t>
            </w:r>
            <w:r w:rsidRPr="005B1252">
              <w:rPr>
                <w:rFonts w:eastAsia="Times New Roman" w:cstheme="minorHAnsi"/>
                <w:b/>
                <w:bCs/>
                <w:sz w:val="21"/>
                <w:szCs w:val="21"/>
                <w:highlight w:val="yellow"/>
              </w:rPr>
              <w:t>. (link to plan documentation)</w:t>
            </w:r>
          </w:p>
          <w:p w14:paraId="399D8ED8" w14:textId="54883BB7" w:rsidR="005B1252" w:rsidRPr="005B1252" w:rsidRDefault="005B1252" w:rsidP="005B1252">
            <w:pPr>
              <w:pStyle w:val="ListParagraph"/>
              <w:numPr>
                <w:ilvl w:val="0"/>
                <w:numId w:val="2"/>
              </w:numPr>
              <w:rPr>
                <w:rFonts w:eastAsia="Times New Roman" w:cstheme="minorHAnsi"/>
                <w:sz w:val="21"/>
                <w:szCs w:val="21"/>
              </w:rPr>
            </w:pPr>
            <w:r w:rsidRPr="005B1252">
              <w:rPr>
                <w:rFonts w:eastAsia="Times New Roman" w:cstheme="minorHAnsi"/>
                <w:b/>
                <w:bCs/>
                <w:sz w:val="21"/>
                <w:szCs w:val="21"/>
              </w:rPr>
              <w:t>Consider where to spend.</w:t>
            </w:r>
            <w:r w:rsidRPr="005B1252">
              <w:rPr>
                <w:rFonts w:eastAsia="Times New Roman" w:cstheme="minorHAnsi"/>
                <w:sz w:val="21"/>
                <w:szCs w:val="21"/>
              </w:rPr>
              <w:t xml:space="preserve"> You can use your HSA dollars to pay for all sorts of everyday expenses, including band-aids and bandages, cold medicine, SPF </w:t>
            </w:r>
            <w:proofErr w:type="gramStart"/>
            <w:r w:rsidRPr="005B1252">
              <w:rPr>
                <w:rFonts w:eastAsia="Times New Roman" w:cstheme="minorHAnsi"/>
                <w:sz w:val="21"/>
                <w:szCs w:val="21"/>
              </w:rPr>
              <w:t>30</w:t>
            </w:r>
            <w:proofErr w:type="gramEnd"/>
            <w:r w:rsidRPr="005B1252">
              <w:rPr>
                <w:rFonts w:eastAsia="Times New Roman" w:cstheme="minorHAnsi"/>
                <w:sz w:val="21"/>
                <w:szCs w:val="21"/>
              </w:rPr>
              <w:t xml:space="preserve"> or greater sunscreen, and more. </w:t>
            </w:r>
            <w:hyperlink r:id="rId9" w:history="1">
              <w:r w:rsidRPr="005B1252">
                <w:rPr>
                  <w:rStyle w:val="Hyperlink"/>
                  <w:rFonts w:asciiTheme="minorHAnsi" w:eastAsia="Times New Roman" w:hAnsiTheme="minorHAnsi" w:cstheme="minorHAnsi"/>
                  <w:sz w:val="21"/>
                  <w:szCs w:val="21"/>
                </w:rPr>
                <w:t>Check out this handy list of eligible expenses</w:t>
              </w:r>
            </w:hyperlink>
            <w:r w:rsidRPr="005B1252">
              <w:rPr>
                <w:rFonts w:eastAsia="Times New Roman" w:cstheme="minorHAnsi"/>
                <w:sz w:val="21"/>
                <w:szCs w:val="21"/>
              </w:rPr>
              <w:t>.</w:t>
            </w:r>
          </w:p>
          <w:p w14:paraId="52D32766" w14:textId="3F2AB411" w:rsidR="00456FD7" w:rsidRPr="00651F1D" w:rsidRDefault="005B1252" w:rsidP="00627A0E">
            <w:pPr>
              <w:pStyle w:val="ListParagraph"/>
              <w:numPr>
                <w:ilvl w:val="0"/>
                <w:numId w:val="2"/>
              </w:numPr>
              <w:rPr>
                <w:rFonts w:cstheme="minorHAnsi"/>
              </w:rPr>
            </w:pPr>
            <w:r w:rsidRPr="005B1252">
              <w:rPr>
                <w:rFonts w:eastAsia="Times New Roman" w:cstheme="minorHAnsi"/>
                <w:b/>
                <w:bCs/>
                <w:sz w:val="21"/>
                <w:szCs w:val="21"/>
              </w:rPr>
              <w:t>Make sure your HSA is activated.</w:t>
            </w:r>
            <w:r w:rsidRPr="005B1252">
              <w:rPr>
                <w:rFonts w:eastAsia="Times New Roman" w:cstheme="minorHAnsi"/>
                <w:sz w:val="21"/>
                <w:szCs w:val="21"/>
              </w:rPr>
              <w:t xml:space="preserve"> Please remember that your HSA is not activated until a contribution has been made. This is important because only expenses incurred after your HSA was activated can be paid for with your HSA funds. If you’re not sure whether your account is active, </w:t>
            </w:r>
            <w:hyperlink r:id="rId10" w:history="1">
              <w:r w:rsidRPr="005B1252">
                <w:rPr>
                  <w:rStyle w:val="Hyperlink"/>
                  <w:rFonts w:asciiTheme="minorHAnsi" w:eastAsia="Times New Roman" w:hAnsiTheme="minorHAnsi" w:cstheme="minorHAnsi"/>
                  <w:sz w:val="21"/>
                  <w:szCs w:val="21"/>
                </w:rPr>
                <w:t>log in to your account online to check</w:t>
              </w:r>
            </w:hyperlink>
            <w:r w:rsidRPr="005B1252">
              <w:rPr>
                <w:rFonts w:eastAsia="Times New Roman" w:cstheme="minorHAnsi"/>
                <w:sz w:val="21"/>
                <w:szCs w:val="21"/>
              </w:rPr>
              <w:t>.</w:t>
            </w:r>
          </w:p>
        </w:tc>
      </w:tr>
      <w:tr w:rsidR="00B6465F" w:rsidRPr="00B6465F" w14:paraId="21B5B8E0" w14:textId="77777777" w:rsidTr="005B1252">
        <w:tc>
          <w:tcPr>
            <w:tcW w:w="9360" w:type="dxa"/>
          </w:tcPr>
          <w:p w14:paraId="4430DDB1" w14:textId="77777777" w:rsidR="00B6465F" w:rsidRPr="00651F1D" w:rsidRDefault="00B6465F">
            <w:pPr>
              <w:rPr>
                <w:rFonts w:cstheme="minorHAnsi"/>
                <w:sz w:val="20"/>
                <w:szCs w:val="20"/>
              </w:rPr>
            </w:pPr>
          </w:p>
        </w:tc>
      </w:tr>
      <w:tr w:rsidR="00456FD7" w:rsidRPr="00DC3A72" w14:paraId="1152AD26" w14:textId="77777777" w:rsidTr="005B1252">
        <w:tc>
          <w:tcPr>
            <w:tcW w:w="9360" w:type="dxa"/>
          </w:tcPr>
          <w:p w14:paraId="455CB9DA" w14:textId="54032CD9" w:rsidR="00456FD7" w:rsidRPr="00651F1D" w:rsidRDefault="005B1252">
            <w:pPr>
              <w:rPr>
                <w:rFonts w:eastAsia="Times New Roman" w:cstheme="minorHAnsi"/>
                <w:sz w:val="21"/>
                <w:szCs w:val="21"/>
              </w:rPr>
            </w:pPr>
            <w:r w:rsidRPr="005B1252">
              <w:rPr>
                <w:rFonts w:eastAsia="Times New Roman" w:cstheme="minorHAnsi"/>
                <w:sz w:val="21"/>
                <w:szCs w:val="21"/>
              </w:rPr>
              <w:t xml:space="preserve">For more information on these tips, including where to look for a contribution, see </w:t>
            </w:r>
            <w:hyperlink r:id="rId11" w:history="1">
              <w:r w:rsidRPr="005B1252">
                <w:rPr>
                  <w:rStyle w:val="Hyperlink"/>
                  <w:rFonts w:asciiTheme="minorHAnsi" w:eastAsia="Times New Roman" w:hAnsiTheme="minorHAnsi" w:cstheme="minorHAnsi"/>
                  <w:sz w:val="21"/>
                  <w:szCs w:val="21"/>
                </w:rPr>
                <w:t>this article</w:t>
              </w:r>
            </w:hyperlink>
            <w:r w:rsidRPr="005B1252">
              <w:rPr>
                <w:rFonts w:eastAsia="Times New Roman" w:cstheme="minorHAnsi"/>
                <w:sz w:val="21"/>
                <w:szCs w:val="21"/>
              </w:rPr>
              <w:t>.</w:t>
            </w:r>
          </w:p>
        </w:tc>
      </w:tr>
      <w:tr w:rsidR="0045273A" w:rsidRPr="00DC3A72" w14:paraId="7BFD46DC" w14:textId="77777777" w:rsidTr="005B1252">
        <w:tc>
          <w:tcPr>
            <w:tcW w:w="9360" w:type="dxa"/>
          </w:tcPr>
          <w:p w14:paraId="267F4816" w14:textId="77777777" w:rsidR="0045273A" w:rsidRPr="00DC3A72" w:rsidRDefault="0045273A" w:rsidP="00DC3A72">
            <w:pPr>
              <w:rPr>
                <w:rFonts w:cstheme="minorHAnsi"/>
              </w:rPr>
            </w:pPr>
          </w:p>
        </w:tc>
      </w:tr>
      <w:bookmarkEnd w:id="0"/>
    </w:tbl>
    <w:p w14:paraId="6EB70003" w14:textId="77777777" w:rsidR="00D012AC" w:rsidRPr="00DC3A72" w:rsidRDefault="00C92823">
      <w:pPr>
        <w:rPr>
          <w:rFonts w:cstheme="minorHAnsi"/>
        </w:rPr>
      </w:pPr>
    </w:p>
    <w:sectPr w:rsidR="00D012AC" w:rsidRPr="00DC3A72" w:rsidSect="00B6465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FB32" w14:textId="77777777" w:rsidR="006A580B" w:rsidRDefault="006A580B" w:rsidP="00DC3A72">
      <w:pPr>
        <w:spacing w:after="0" w:line="240" w:lineRule="auto"/>
      </w:pPr>
      <w:r>
        <w:separator/>
      </w:r>
    </w:p>
  </w:endnote>
  <w:endnote w:type="continuationSeparator" w:id="0">
    <w:p w14:paraId="615915C5" w14:textId="77777777" w:rsidR="006A580B" w:rsidRDefault="006A580B" w:rsidP="00DC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32AA5" w14:textId="77777777" w:rsidR="006A580B" w:rsidRDefault="006A580B" w:rsidP="00DC3A72">
      <w:pPr>
        <w:spacing w:after="0" w:line="240" w:lineRule="auto"/>
      </w:pPr>
      <w:r>
        <w:separator/>
      </w:r>
    </w:p>
  </w:footnote>
  <w:footnote w:type="continuationSeparator" w:id="0">
    <w:p w14:paraId="095FCB00" w14:textId="77777777" w:rsidR="006A580B" w:rsidRDefault="006A580B" w:rsidP="00DC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A06"/>
    <w:multiLevelType w:val="multilevel"/>
    <w:tmpl w:val="07883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DA4A90"/>
    <w:multiLevelType w:val="hybridMultilevel"/>
    <w:tmpl w:val="6902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D7"/>
    <w:rsid w:val="0002108F"/>
    <w:rsid w:val="000E5F43"/>
    <w:rsid w:val="001916B7"/>
    <w:rsid w:val="0036683C"/>
    <w:rsid w:val="003A4CCF"/>
    <w:rsid w:val="0045273A"/>
    <w:rsid w:val="00456FD7"/>
    <w:rsid w:val="00521ED5"/>
    <w:rsid w:val="005B1252"/>
    <w:rsid w:val="00627A0E"/>
    <w:rsid w:val="006469CE"/>
    <w:rsid w:val="00651F1D"/>
    <w:rsid w:val="006A580B"/>
    <w:rsid w:val="0070755E"/>
    <w:rsid w:val="007E6904"/>
    <w:rsid w:val="008029F1"/>
    <w:rsid w:val="0099232E"/>
    <w:rsid w:val="00A078A0"/>
    <w:rsid w:val="00AD1E5C"/>
    <w:rsid w:val="00B32E7E"/>
    <w:rsid w:val="00B35433"/>
    <w:rsid w:val="00B6465F"/>
    <w:rsid w:val="00BD1B61"/>
    <w:rsid w:val="00C7669E"/>
    <w:rsid w:val="00C92823"/>
    <w:rsid w:val="00DC3A72"/>
    <w:rsid w:val="00F0605F"/>
    <w:rsid w:val="00F4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04D"/>
  <w15:chartTrackingRefBased/>
  <w15:docId w15:val="{14F23074-D05E-46AB-9D97-614533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FD7"/>
    <w:rPr>
      <w:b/>
      <w:bCs/>
    </w:rPr>
  </w:style>
  <w:style w:type="character" w:styleId="Hyperlink">
    <w:name w:val="Hyperlink"/>
    <w:basedOn w:val="DefaultParagraphFont"/>
    <w:uiPriority w:val="99"/>
    <w:unhideWhenUsed/>
    <w:rsid w:val="00DC3A72"/>
    <w:rPr>
      <w:rFonts w:ascii="Arial" w:hAnsi="Arial" w:cs="Arial" w:hint="default"/>
      <w:color w:val="1879BF"/>
      <w:u w:val="single"/>
    </w:rPr>
  </w:style>
  <w:style w:type="paragraph" w:styleId="Header">
    <w:name w:val="header"/>
    <w:basedOn w:val="Normal"/>
    <w:link w:val="HeaderChar"/>
    <w:uiPriority w:val="99"/>
    <w:unhideWhenUsed/>
    <w:rsid w:val="00DC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72"/>
  </w:style>
  <w:style w:type="paragraph" w:styleId="Footer">
    <w:name w:val="footer"/>
    <w:basedOn w:val="Normal"/>
    <w:link w:val="FooterChar"/>
    <w:uiPriority w:val="99"/>
    <w:unhideWhenUsed/>
    <w:rsid w:val="00DC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72"/>
  </w:style>
  <w:style w:type="character" w:styleId="UnresolvedMention">
    <w:name w:val="Unresolved Mention"/>
    <w:basedOn w:val="DefaultParagraphFont"/>
    <w:uiPriority w:val="99"/>
    <w:semiHidden/>
    <w:unhideWhenUsed/>
    <w:rsid w:val="007E6904"/>
    <w:rPr>
      <w:color w:val="605E5C"/>
      <w:shd w:val="clear" w:color="auto" w:fill="E1DFDD"/>
    </w:rPr>
  </w:style>
  <w:style w:type="paragraph" w:styleId="ListParagraph">
    <w:name w:val="List Paragraph"/>
    <w:basedOn w:val="Normal"/>
    <w:uiPriority w:val="34"/>
    <w:qFormat/>
    <w:rsid w:val="0062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5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hellofurther.com/Individuals/Getting_Started/How_to_Set_Yourself_Up_for_Success_with_your_Health_Spending_Account_in_a_New_Plan_Year" TargetMode="External"/><Relationship Id="rId5" Type="http://schemas.openxmlformats.org/officeDocument/2006/relationships/webSettings" Target="webSettings.xml"/><Relationship Id="rId10" Type="http://schemas.openxmlformats.org/officeDocument/2006/relationships/hyperlink" Target="https://member.hellofurther.com/" TargetMode="External"/><Relationship Id="rId4" Type="http://schemas.openxmlformats.org/officeDocument/2006/relationships/settings" Target="settings.xml"/><Relationship Id="rId9" Type="http://schemas.openxmlformats.org/officeDocument/2006/relationships/hyperlink" Target="https://learn.hellofurther.com/Individuals/Spending_Your_Account/Eligible_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F3AD-B8AF-4689-9129-5C842267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Brae</dc:creator>
  <cp:keywords/>
  <dc:description/>
  <cp:lastModifiedBy>Hovland, Kate</cp:lastModifiedBy>
  <cp:revision>3</cp:revision>
  <dcterms:created xsi:type="dcterms:W3CDTF">2020-12-16T18:08:00Z</dcterms:created>
  <dcterms:modified xsi:type="dcterms:W3CDTF">2020-12-16T20:41:00Z</dcterms:modified>
</cp:coreProperties>
</file>